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4FB36" w14:textId="307FA0AD" w:rsidR="0097279D" w:rsidRPr="00C03D45" w:rsidRDefault="0097279D" w:rsidP="00194358">
      <w:pPr>
        <w:shd w:val="clear" w:color="auto" w:fill="FFFFFF"/>
        <w:jc w:val="right"/>
        <w:rPr>
          <w:rFonts w:cs="Arial"/>
          <w:b/>
          <w:bCs/>
          <w:sz w:val="32"/>
          <w:szCs w:val="32"/>
        </w:rPr>
      </w:pPr>
    </w:p>
    <w:p w14:paraId="38960E53" w14:textId="77777777" w:rsidR="0097279D" w:rsidRPr="00C03D45" w:rsidRDefault="0097279D" w:rsidP="0097279D">
      <w:pPr>
        <w:shd w:val="clear" w:color="auto" w:fill="FFFFFF"/>
        <w:rPr>
          <w:rFonts w:cs="Arial"/>
          <w:b/>
          <w:bCs/>
          <w:sz w:val="32"/>
          <w:szCs w:val="32"/>
        </w:rPr>
      </w:pPr>
    </w:p>
    <w:p w14:paraId="370B29CB" w14:textId="77777777" w:rsidR="0097279D" w:rsidRPr="00C03D45" w:rsidRDefault="0097279D" w:rsidP="0097279D">
      <w:pPr>
        <w:shd w:val="clear" w:color="auto" w:fill="FFFFFF"/>
        <w:rPr>
          <w:rFonts w:cs="Arial"/>
          <w:b/>
          <w:bCs/>
          <w:sz w:val="32"/>
          <w:szCs w:val="32"/>
        </w:rPr>
      </w:pPr>
    </w:p>
    <w:p w14:paraId="424F17DA" w14:textId="77777777" w:rsidR="0097279D" w:rsidRPr="00C03D45" w:rsidRDefault="0097279D" w:rsidP="0097279D">
      <w:pPr>
        <w:shd w:val="clear" w:color="auto" w:fill="FFFFFF"/>
        <w:rPr>
          <w:rFonts w:cs="Arial"/>
          <w:b/>
          <w:bCs/>
          <w:sz w:val="32"/>
          <w:szCs w:val="32"/>
        </w:rPr>
      </w:pPr>
    </w:p>
    <w:p w14:paraId="5B9451FB" w14:textId="77777777" w:rsidR="0097279D" w:rsidRPr="00C03D45" w:rsidRDefault="0097279D" w:rsidP="0097279D">
      <w:pPr>
        <w:shd w:val="clear" w:color="auto" w:fill="FFFFFF"/>
        <w:rPr>
          <w:rFonts w:cs="Arial"/>
          <w:b/>
          <w:bCs/>
          <w:sz w:val="32"/>
          <w:szCs w:val="32"/>
        </w:rPr>
      </w:pPr>
    </w:p>
    <w:p w14:paraId="711EBA7B" w14:textId="77777777" w:rsidR="0097279D" w:rsidRPr="00C03D45" w:rsidRDefault="0097279D" w:rsidP="0097279D">
      <w:pPr>
        <w:spacing w:after="200" w:line="276" w:lineRule="auto"/>
        <w:rPr>
          <w:rFonts w:ascii="Arial Narrow" w:hAnsi="Arial Narrow"/>
          <w:lang w:bidi="en-US"/>
        </w:rPr>
      </w:pPr>
      <w:r w:rsidRPr="00C03D45">
        <w:rPr>
          <w:rFonts w:ascii="Arial Narrow" w:hAnsi="Arial Narrow"/>
          <w:lang w:bidi="en-US"/>
        </w:rPr>
        <w:t xml:space="preserve">                                                                          </w:t>
      </w:r>
    </w:p>
    <w:p w14:paraId="1F5DF6CD" w14:textId="77777777" w:rsidR="00AD5E16" w:rsidRDefault="0097279D" w:rsidP="0097279D">
      <w:pPr>
        <w:pBdr>
          <w:top w:val="single" w:sz="12" w:space="1" w:color="C0504D"/>
        </w:pBdr>
        <w:spacing w:after="200"/>
        <w:jc w:val="center"/>
        <w:rPr>
          <w:rFonts w:ascii="Arial Narrow" w:hAnsi="Arial Narrow" w:cs="Arial"/>
          <w:bCs/>
          <w:sz w:val="36"/>
          <w:szCs w:val="36"/>
        </w:rPr>
      </w:pPr>
      <w:bookmarkStart w:id="0" w:name="_Toc287343233"/>
      <w:r w:rsidRPr="00C03D45">
        <w:rPr>
          <w:rFonts w:ascii="Arial Narrow" w:hAnsi="Arial Narrow" w:cs="Arial"/>
          <w:bCs/>
          <w:sz w:val="36"/>
          <w:szCs w:val="36"/>
        </w:rPr>
        <w:t xml:space="preserve"> </w:t>
      </w:r>
      <w:bookmarkEnd w:id="0"/>
      <w:r w:rsidRPr="00C03D45">
        <w:rPr>
          <w:rFonts w:ascii="Arial Narrow" w:hAnsi="Arial Narrow" w:cs="Arial"/>
          <w:bCs/>
          <w:sz w:val="36"/>
          <w:szCs w:val="36"/>
        </w:rPr>
        <w:t xml:space="preserve">Metodika využívania nástrojov na overenie hospodárnosti a efektívnosti výdavkov v rámci Prioritnej osi 7 Informačná spoločnosť Operačného programu Integrovaná infraštruktúra </w:t>
      </w:r>
    </w:p>
    <w:p w14:paraId="5DFEDCC7" w14:textId="77777777" w:rsidR="00AD5E16" w:rsidRDefault="00AD5E16" w:rsidP="0097279D">
      <w:pPr>
        <w:pBdr>
          <w:top w:val="single" w:sz="12" w:space="1" w:color="C0504D"/>
        </w:pBdr>
        <w:spacing w:after="200"/>
        <w:jc w:val="center"/>
        <w:rPr>
          <w:rFonts w:ascii="Arial Narrow" w:hAnsi="Arial Narrow" w:cs="Arial"/>
          <w:bCs/>
          <w:sz w:val="36"/>
          <w:szCs w:val="36"/>
        </w:rPr>
      </w:pPr>
    </w:p>
    <w:p w14:paraId="684B03CD" w14:textId="77777777" w:rsidR="00AD5E16" w:rsidRPr="00C03D45" w:rsidRDefault="00AD5E16" w:rsidP="0097279D">
      <w:pPr>
        <w:pBdr>
          <w:top w:val="single" w:sz="12" w:space="1" w:color="C0504D"/>
        </w:pBdr>
        <w:spacing w:after="200"/>
        <w:jc w:val="center"/>
        <w:rPr>
          <w:rFonts w:ascii="Arial Narrow" w:hAnsi="Arial Narrow" w:cs="Arial"/>
          <w:bCs/>
          <w:sz w:val="36"/>
          <w:szCs w:val="36"/>
        </w:rPr>
      </w:pPr>
    </w:p>
    <w:p w14:paraId="6396F648" w14:textId="30651527" w:rsidR="0097279D" w:rsidRPr="00C03D45" w:rsidRDefault="0097279D" w:rsidP="0097279D">
      <w:pPr>
        <w:shd w:val="clear" w:color="auto" w:fill="FFFFFF"/>
        <w:jc w:val="center"/>
        <w:rPr>
          <w:rFonts w:ascii="Arial Narrow" w:hAnsi="Arial Narrow" w:cs="Arial"/>
          <w:bCs/>
          <w:sz w:val="24"/>
          <w:szCs w:val="24"/>
        </w:rPr>
      </w:pPr>
      <w:r w:rsidRPr="00C03D45">
        <w:rPr>
          <w:rFonts w:ascii="Arial Narrow" w:hAnsi="Arial Narrow" w:cs="Arial"/>
          <w:bCs/>
          <w:sz w:val="24"/>
          <w:szCs w:val="24"/>
        </w:rPr>
        <w:t xml:space="preserve">(SO </w:t>
      </w:r>
      <w:r w:rsidR="00786B66">
        <w:rPr>
          <w:rFonts w:ascii="Arial Narrow" w:hAnsi="Arial Narrow" w:cs="Arial"/>
          <w:bCs/>
          <w:sz w:val="24"/>
          <w:szCs w:val="24"/>
        </w:rPr>
        <w:t>–</w:t>
      </w:r>
      <w:r w:rsidRPr="00C03D45">
        <w:rPr>
          <w:rFonts w:ascii="Arial Narrow" w:hAnsi="Arial Narrow" w:cs="Arial"/>
          <w:bCs/>
          <w:sz w:val="24"/>
          <w:szCs w:val="24"/>
        </w:rPr>
        <w:t xml:space="preserve"> </w:t>
      </w:r>
      <w:r w:rsidR="00F00C04">
        <w:rPr>
          <w:rFonts w:ascii="Arial Narrow" w:hAnsi="Arial Narrow" w:cs="Arial"/>
          <w:bCs/>
          <w:sz w:val="24"/>
          <w:szCs w:val="24"/>
        </w:rPr>
        <w:t>MIRRI SR</w:t>
      </w:r>
      <w:r w:rsidRPr="00C03D45">
        <w:rPr>
          <w:rFonts w:ascii="Arial Narrow" w:hAnsi="Arial Narrow" w:cs="Arial"/>
          <w:bCs/>
          <w:sz w:val="24"/>
          <w:szCs w:val="24"/>
        </w:rPr>
        <w:t>)</w:t>
      </w:r>
    </w:p>
    <w:p w14:paraId="31732117" w14:textId="30E93A48" w:rsidR="0097279D" w:rsidRPr="00C03D45" w:rsidRDefault="0097279D" w:rsidP="00D122D8">
      <w:pPr>
        <w:jc w:val="center"/>
        <w:rPr>
          <w:rFonts w:ascii="Arial Narrow" w:hAnsi="Arial Narrow" w:cs="Arial"/>
          <w:bCs/>
          <w:sz w:val="24"/>
          <w:szCs w:val="24"/>
        </w:rPr>
      </w:pPr>
      <w:r w:rsidRPr="00C03D45">
        <w:rPr>
          <w:rFonts w:ascii="Arial Narrow" w:hAnsi="Arial Narrow" w:cs="Arial"/>
          <w:bCs/>
          <w:sz w:val="24"/>
          <w:szCs w:val="24"/>
        </w:rPr>
        <w:t xml:space="preserve">Verzia </w:t>
      </w:r>
      <w:r w:rsidR="00F00C04">
        <w:rPr>
          <w:rFonts w:ascii="Arial Narrow" w:hAnsi="Arial Narrow" w:cs="Arial"/>
          <w:bCs/>
          <w:sz w:val="24"/>
          <w:szCs w:val="24"/>
        </w:rPr>
        <w:t>8</w:t>
      </w:r>
      <w:r w:rsidRPr="00D122D8">
        <w:rPr>
          <w:rFonts w:ascii="Arial Narrow" w:hAnsi="Arial Narrow" w:cs="Arial"/>
          <w:bCs/>
          <w:sz w:val="24"/>
          <w:szCs w:val="24"/>
        </w:rPr>
        <w:t>.0</w:t>
      </w:r>
    </w:p>
    <w:p w14:paraId="28C94FA4" w14:textId="77777777" w:rsidR="0097279D" w:rsidRPr="00C03D45" w:rsidRDefault="0097279D" w:rsidP="0097279D">
      <w:pPr>
        <w:pStyle w:val="Hlavikaobsahu"/>
        <w:rPr>
          <w:rFonts w:ascii="Arial Narrow" w:hAnsi="Arial Narrow" w:cs="Arial"/>
          <w:color w:val="auto"/>
          <w:sz w:val="28"/>
          <w:szCs w:val="28"/>
        </w:rPr>
      </w:pPr>
    </w:p>
    <w:p w14:paraId="4E0109B7" w14:textId="77777777" w:rsidR="0097279D" w:rsidRPr="00C03D45" w:rsidRDefault="0097279D" w:rsidP="0097279D">
      <w:pPr>
        <w:rPr>
          <w:rFonts w:ascii="Arial Narrow" w:hAnsi="Arial Narrow" w:cs="Arial"/>
          <w:lang w:eastAsia="sk-SK"/>
        </w:rPr>
      </w:pPr>
    </w:p>
    <w:p w14:paraId="18DE81BB" w14:textId="77777777" w:rsidR="0097279D" w:rsidRPr="00C03D45" w:rsidRDefault="0097279D" w:rsidP="0097279D">
      <w:pPr>
        <w:rPr>
          <w:rFonts w:ascii="Arial Narrow" w:hAnsi="Arial Narrow" w:cs="Arial"/>
          <w:lang w:eastAsia="sk-SK"/>
        </w:rPr>
      </w:pPr>
    </w:p>
    <w:p w14:paraId="2B23AB04" w14:textId="4FF1D54D" w:rsidR="001C5B9C" w:rsidRDefault="001C5B9C" w:rsidP="0097279D">
      <w:pPr>
        <w:rPr>
          <w:rFonts w:ascii="Arial Narrow" w:hAnsi="Arial Narrow" w:cs="Arial"/>
          <w:lang w:eastAsia="sk-SK"/>
        </w:rPr>
      </w:pPr>
      <w:r>
        <w:rPr>
          <w:rFonts w:ascii="Arial Narrow" w:hAnsi="Arial Narrow" w:cs="Arial"/>
          <w:lang w:eastAsia="sk-SK"/>
        </w:rPr>
        <w:br/>
      </w:r>
    </w:p>
    <w:p w14:paraId="70698D1F" w14:textId="77777777" w:rsidR="00F26D5E" w:rsidRDefault="001C5B9C" w:rsidP="00486E42">
      <w:pPr>
        <w:rPr>
          <w:rFonts w:ascii="Arial Narrow" w:hAnsi="Arial Narrow" w:cs="Arial"/>
          <w:lang w:eastAsia="sk-SK"/>
        </w:rPr>
      </w:pPr>
      <w:r>
        <w:rPr>
          <w:rFonts w:ascii="Arial Narrow" w:hAnsi="Arial Narrow" w:cs="Arial"/>
          <w:lang w:eastAsia="sk-SK"/>
        </w:rPr>
        <w:br w:type="column"/>
      </w:r>
    </w:p>
    <w:p w14:paraId="1FC29A87" w14:textId="1C57C6F0" w:rsidR="007C10AC" w:rsidRPr="00514108" w:rsidRDefault="007C10AC" w:rsidP="00486E42">
      <w:pPr>
        <w:rPr>
          <w:rFonts w:ascii="Arial Narrow" w:hAnsi="Arial Narrow"/>
          <w:b/>
        </w:rPr>
      </w:pPr>
      <w:r w:rsidRPr="00514108">
        <w:rPr>
          <w:rFonts w:ascii="Arial Narrow" w:hAnsi="Arial Narrow"/>
          <w:b/>
        </w:rPr>
        <w:t>Obsah</w:t>
      </w:r>
    </w:p>
    <w:p w14:paraId="78F205DC" w14:textId="14AA3F9E" w:rsidR="009C1B3E" w:rsidRDefault="00514108">
      <w:pPr>
        <w:pStyle w:val="Obsah1"/>
        <w:tabs>
          <w:tab w:val="right" w:leader="dot" w:pos="9062"/>
        </w:tabs>
        <w:rPr>
          <w:rFonts w:eastAsiaTheme="minorEastAsia"/>
          <w:b w:val="0"/>
          <w:bCs w:val="0"/>
          <w:noProof/>
          <w:sz w:val="22"/>
          <w:szCs w:val="22"/>
          <w:lang w:eastAsia="sk-SK"/>
        </w:rPr>
      </w:pPr>
      <w:r w:rsidRPr="008B6B13">
        <w:rPr>
          <w:rFonts w:ascii="Arial Narrow" w:hAnsi="Arial Narrow"/>
          <w:bCs w:val="0"/>
          <w:caps/>
          <w:sz w:val="22"/>
          <w:szCs w:val="22"/>
        </w:rPr>
        <w:fldChar w:fldCharType="begin"/>
      </w:r>
      <w:r w:rsidRPr="008B6B13">
        <w:rPr>
          <w:rFonts w:ascii="Arial Narrow" w:hAnsi="Arial Narrow"/>
          <w:bCs w:val="0"/>
          <w:caps/>
          <w:sz w:val="22"/>
          <w:szCs w:val="22"/>
        </w:rPr>
        <w:instrText xml:space="preserve"> TOC \h \z \t "Ob1;1;Ob3;2" </w:instrText>
      </w:r>
      <w:r w:rsidRPr="008B6B13">
        <w:rPr>
          <w:rFonts w:ascii="Arial Narrow" w:hAnsi="Arial Narrow"/>
          <w:bCs w:val="0"/>
          <w:caps/>
          <w:sz w:val="22"/>
          <w:szCs w:val="22"/>
        </w:rPr>
        <w:fldChar w:fldCharType="separate"/>
      </w:r>
      <w:hyperlink w:anchor="_Toc48031508" w:history="1">
        <w:r w:rsidR="009C1B3E" w:rsidRPr="00AF16B0">
          <w:rPr>
            <w:rStyle w:val="Hypertextovprepojenie"/>
            <w:noProof/>
          </w:rPr>
          <w:t>Úvod</w:t>
        </w:r>
        <w:r w:rsidR="009C1B3E">
          <w:rPr>
            <w:noProof/>
            <w:webHidden/>
          </w:rPr>
          <w:tab/>
        </w:r>
        <w:r w:rsidR="009C1B3E">
          <w:rPr>
            <w:noProof/>
            <w:webHidden/>
          </w:rPr>
          <w:fldChar w:fldCharType="begin"/>
        </w:r>
        <w:r w:rsidR="009C1B3E">
          <w:rPr>
            <w:noProof/>
            <w:webHidden/>
          </w:rPr>
          <w:instrText xml:space="preserve"> PAGEREF _Toc48031508 \h </w:instrText>
        </w:r>
        <w:r w:rsidR="009C1B3E">
          <w:rPr>
            <w:noProof/>
            <w:webHidden/>
          </w:rPr>
        </w:r>
        <w:r w:rsidR="009C1B3E">
          <w:rPr>
            <w:noProof/>
            <w:webHidden/>
          </w:rPr>
          <w:fldChar w:fldCharType="separate"/>
        </w:r>
        <w:r w:rsidR="009C1B3E">
          <w:rPr>
            <w:noProof/>
            <w:webHidden/>
          </w:rPr>
          <w:t>3</w:t>
        </w:r>
        <w:r w:rsidR="009C1B3E">
          <w:rPr>
            <w:noProof/>
            <w:webHidden/>
          </w:rPr>
          <w:fldChar w:fldCharType="end"/>
        </w:r>
      </w:hyperlink>
    </w:p>
    <w:p w14:paraId="77D7C4B3" w14:textId="35A348DE" w:rsidR="009C1B3E" w:rsidRDefault="009C1B3E">
      <w:pPr>
        <w:pStyle w:val="Obsah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noProof/>
          <w:sz w:val="22"/>
          <w:szCs w:val="22"/>
          <w:lang w:eastAsia="sk-SK"/>
        </w:rPr>
      </w:pPr>
      <w:hyperlink w:anchor="_Toc48031509" w:history="1">
        <w:r w:rsidRPr="00AF16B0">
          <w:rPr>
            <w:rStyle w:val="Hypertextovprepojenie"/>
            <w:noProof/>
          </w:rPr>
          <w:t>1.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Uplatnenie metodiky a prehľad využívania jednotlivých nástrojov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A209EE" w14:textId="38624C44" w:rsidR="009C1B3E" w:rsidRDefault="009C1B3E">
      <w:pPr>
        <w:pStyle w:val="Obsah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noProof/>
          <w:sz w:val="22"/>
          <w:szCs w:val="22"/>
          <w:lang w:eastAsia="sk-SK"/>
        </w:rPr>
      </w:pPr>
      <w:hyperlink w:anchor="_Toc48031510" w:history="1">
        <w:r w:rsidRPr="00AF16B0">
          <w:rPr>
            <w:rStyle w:val="Hypertextovprepojenie"/>
            <w:noProof/>
          </w:rPr>
          <w:t>2.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Využitie jednotlivých nástrojov v závislosti od skupiny výdavkov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63AF87" w14:textId="724C37A8" w:rsidR="009C1B3E" w:rsidRDefault="009C1B3E">
      <w:pPr>
        <w:pStyle w:val="Obsah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noProof/>
          <w:sz w:val="22"/>
          <w:szCs w:val="22"/>
          <w:lang w:eastAsia="sk-SK"/>
        </w:rPr>
      </w:pPr>
      <w:hyperlink w:anchor="_Toc48031511" w:history="1">
        <w:r w:rsidRPr="00AF16B0">
          <w:rPr>
            <w:rStyle w:val="Hypertextovprepojenie"/>
            <w:noProof/>
          </w:rPr>
          <w:t>3.</w:t>
        </w:r>
        <w:r>
          <w:rPr>
            <w:rFonts w:eastAsiaTheme="minorEastAsia"/>
            <w:b w:val="0"/>
            <w:b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Spôsob využitia konkrétneho nástroja a zdôvodnenie jeho aplikovania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518D22" w14:textId="62C05F82" w:rsidR="009C1B3E" w:rsidRDefault="009C1B3E">
      <w:pPr>
        <w:pStyle w:val="Obsah2"/>
        <w:tabs>
          <w:tab w:val="left" w:pos="880"/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2" w:history="1">
        <w:r w:rsidRPr="00AF16B0">
          <w:rPr>
            <w:rStyle w:val="Hypertextovprepojenie"/>
            <w:noProof/>
          </w:rPr>
          <w:t xml:space="preserve">3.1 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Štúdia uskutočniteľnosti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A028F1" w14:textId="25ECDD95" w:rsidR="009C1B3E" w:rsidRDefault="009C1B3E">
      <w:pPr>
        <w:pStyle w:val="Obsah2"/>
        <w:tabs>
          <w:tab w:val="left" w:pos="880"/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3" w:history="1">
        <w:r w:rsidRPr="00AF16B0">
          <w:rPr>
            <w:rStyle w:val="Hypertextovprepojenie"/>
            <w:noProof/>
          </w:rPr>
          <w:t xml:space="preserve">3.2 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Ukončené verejné obstarávanie/obstarávanie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F4FA35A" w14:textId="118749E2" w:rsidR="009C1B3E" w:rsidRDefault="009C1B3E">
      <w:pPr>
        <w:pStyle w:val="Obsah2"/>
        <w:tabs>
          <w:tab w:val="left" w:pos="880"/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4" w:history="1">
        <w:r w:rsidRPr="00AF16B0">
          <w:rPr>
            <w:rStyle w:val="Hypertextovprepojenie"/>
            <w:noProof/>
          </w:rPr>
          <w:t xml:space="preserve">3.3 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Zneoprávnenie skupiny, resp. typu výdavkov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D3AB2EC" w14:textId="31CAE818" w:rsidR="009C1B3E" w:rsidRDefault="009C1B3E">
      <w:pPr>
        <w:pStyle w:val="Obsah2"/>
        <w:tabs>
          <w:tab w:val="left" w:pos="880"/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5" w:history="1">
        <w:r w:rsidRPr="00AF16B0">
          <w:rPr>
            <w:rStyle w:val="Hypertextovprepojenie"/>
            <w:noProof/>
          </w:rPr>
          <w:t>3.4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Percentuálne limity pre jednotlivé skupiny výdavkov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FEEF20F" w14:textId="0EFADFEB" w:rsidR="009C1B3E" w:rsidRDefault="009C1B3E">
      <w:pPr>
        <w:pStyle w:val="Obsah2"/>
        <w:tabs>
          <w:tab w:val="left" w:pos="880"/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6" w:history="1">
        <w:r w:rsidRPr="00AF16B0">
          <w:rPr>
            <w:rStyle w:val="Hypertextovprepojenie"/>
            <w:noProof/>
          </w:rPr>
          <w:t>3.5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Finančné limity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CC8F99E" w14:textId="4A598C57" w:rsidR="009C1B3E" w:rsidRDefault="009C1B3E">
      <w:pPr>
        <w:pStyle w:val="Obsah2"/>
        <w:tabs>
          <w:tab w:val="left" w:pos="880"/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7" w:history="1">
        <w:r w:rsidRPr="00AF16B0">
          <w:rPr>
            <w:rStyle w:val="Hypertextovprepojenie"/>
            <w:noProof/>
          </w:rPr>
          <w:t>3.6</w:t>
        </w:r>
        <w:r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Pr="00AF16B0">
          <w:rPr>
            <w:rStyle w:val="Hypertextovprepojenie"/>
            <w:noProof/>
          </w:rPr>
          <w:t>Prieskum trhu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51D303D" w14:textId="1109C5CC" w:rsidR="009C1B3E" w:rsidRDefault="009C1B3E">
      <w:pPr>
        <w:pStyle w:val="Obsah2"/>
        <w:tabs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8" w:history="1">
        <w:r w:rsidRPr="00AF16B0">
          <w:rPr>
            <w:rStyle w:val="Hypertextovprepojenie"/>
            <w:noProof/>
          </w:rPr>
          <w:t>3.7 Odborný posudok/Úkon znalca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BD06829" w14:textId="33598137" w:rsidR="009C1B3E" w:rsidRDefault="009C1B3E">
      <w:pPr>
        <w:pStyle w:val="Obsah2"/>
        <w:tabs>
          <w:tab w:val="right" w:leader="dot" w:pos="9062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48031519" w:history="1">
        <w:r w:rsidRPr="00AF16B0">
          <w:rPr>
            <w:rStyle w:val="Hypertextovprepojenie"/>
            <w:noProof/>
          </w:rPr>
          <w:t>Úkon znalca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_Toc48031519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AEF775B" w14:textId="0301B49C" w:rsidR="007C10AC" w:rsidRPr="00C03D45" w:rsidRDefault="00514108" w:rsidP="007C10AC">
      <w:pPr>
        <w:rPr>
          <w:rFonts w:ascii="Arial Narrow" w:hAnsi="Arial Narrow"/>
          <w:b/>
          <w:sz w:val="28"/>
          <w:szCs w:val="28"/>
        </w:rPr>
      </w:pPr>
      <w:r w:rsidRPr="008B6B13">
        <w:rPr>
          <w:rFonts w:ascii="Arial Narrow" w:hAnsi="Arial Narrow" w:cstheme="minorHAnsi"/>
          <w:bCs/>
          <w:caps/>
        </w:rPr>
        <w:fldChar w:fldCharType="end"/>
      </w:r>
    </w:p>
    <w:p w14:paraId="22DF32BB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67A9FD7B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7F6E57CF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472B9144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6D70BB49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18CDDAB4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2C4BF68C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793E1373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5D7D24A0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24F30616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1A3D4C6A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3CA950DB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468FACF0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10EA42B1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060D2911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41ED1D75" w14:textId="77777777" w:rsidR="00486E42" w:rsidRPr="00C03D45" w:rsidRDefault="00486E42" w:rsidP="007C10AC">
      <w:pPr>
        <w:rPr>
          <w:rFonts w:ascii="Arial Narrow" w:hAnsi="Arial Narrow"/>
          <w:b/>
          <w:sz w:val="28"/>
          <w:szCs w:val="28"/>
        </w:rPr>
      </w:pPr>
    </w:p>
    <w:p w14:paraId="7FA41ABE" w14:textId="6D55B66F" w:rsidR="00265089" w:rsidRPr="00C03D45" w:rsidRDefault="006013AC" w:rsidP="007C10AC">
      <w:pPr>
        <w:pStyle w:val="Ob1"/>
      </w:pPr>
      <w:bookmarkStart w:id="1" w:name="_Toc48031508"/>
      <w:r w:rsidRPr="00C03D45">
        <w:t>Úvod</w:t>
      </w:r>
      <w:bookmarkEnd w:id="1"/>
    </w:p>
    <w:p w14:paraId="55A2D652" w14:textId="02736128" w:rsidR="00194F7E" w:rsidRPr="00C03D45" w:rsidRDefault="006742E7" w:rsidP="006013AC">
      <w:pPr>
        <w:jc w:val="both"/>
        <w:rPr>
          <w:rFonts w:ascii="Arial Narrow" w:hAnsi="Arial Narrow" w:cs="Times New Roman"/>
        </w:rPr>
      </w:pPr>
      <w:r w:rsidRPr="00C03D45">
        <w:rPr>
          <w:rFonts w:ascii="Arial Narrow" w:hAnsi="Arial Narrow"/>
        </w:rPr>
        <w:t>Sprostredkovateľský</w:t>
      </w:r>
      <w:r w:rsidR="005B47D1" w:rsidRPr="00C03D45">
        <w:rPr>
          <w:rFonts w:ascii="Arial Narrow" w:hAnsi="Arial Narrow"/>
        </w:rPr>
        <w:t xml:space="preserve"> orgán pre Operačný program Integrovaná infraštruktúra </w:t>
      </w:r>
      <w:r w:rsidR="009350A3" w:rsidRPr="00C03D45">
        <w:rPr>
          <w:rFonts w:ascii="Arial Narrow" w:hAnsi="Arial Narrow"/>
        </w:rPr>
        <w:t xml:space="preserve">(ďalej len „SO“) </w:t>
      </w:r>
      <w:r w:rsidR="005B47D1" w:rsidRPr="00C03D45">
        <w:rPr>
          <w:rFonts w:ascii="Arial Narrow" w:hAnsi="Arial Narrow"/>
        </w:rPr>
        <w:t xml:space="preserve">pri vypracovaní </w:t>
      </w:r>
      <w:r w:rsidR="006212F6">
        <w:rPr>
          <w:rFonts w:ascii="Arial Narrow" w:hAnsi="Arial Narrow"/>
        </w:rPr>
        <w:t>M</w:t>
      </w:r>
      <w:r w:rsidR="005B47D1" w:rsidRPr="00C03D45">
        <w:rPr>
          <w:rFonts w:ascii="Arial Narrow" w:hAnsi="Arial Narrow"/>
        </w:rPr>
        <w:t xml:space="preserve">etodiky využívania nástrojov </w:t>
      </w:r>
      <w:r w:rsidR="006212F6">
        <w:rPr>
          <w:rFonts w:ascii="Arial Narrow" w:hAnsi="Arial Narrow"/>
        </w:rPr>
        <w:t xml:space="preserve">na overenie </w:t>
      </w:r>
      <w:r w:rsidR="005B47D1" w:rsidRPr="00C03D45">
        <w:rPr>
          <w:rFonts w:ascii="Arial Narrow" w:hAnsi="Arial Narrow"/>
        </w:rPr>
        <w:t>hospodárnosti a efektívnosti výdavkov v rámci Prioritnej osi 7</w:t>
      </w:r>
      <w:r w:rsidR="006212F6">
        <w:rPr>
          <w:rFonts w:ascii="Arial Narrow" w:hAnsi="Arial Narrow"/>
        </w:rPr>
        <w:t xml:space="preserve"> Informačná spoločnosť</w:t>
      </w:r>
      <w:r w:rsidR="005B47D1" w:rsidRPr="00C03D45">
        <w:rPr>
          <w:rFonts w:ascii="Arial Narrow" w:hAnsi="Arial Narrow"/>
        </w:rPr>
        <w:t xml:space="preserve"> </w:t>
      </w:r>
      <w:r w:rsidR="004A14BF" w:rsidRPr="00C03D45">
        <w:rPr>
          <w:rFonts w:ascii="Arial Narrow" w:hAnsi="Arial Narrow"/>
        </w:rPr>
        <w:t xml:space="preserve">Operačného programu Integrovaná infraštruktúra (ďalej len „PO7 OPII“) </w:t>
      </w:r>
      <w:r w:rsidR="005B47D1" w:rsidRPr="00C03D45">
        <w:rPr>
          <w:rFonts w:ascii="Arial Narrow" w:hAnsi="Arial Narrow"/>
        </w:rPr>
        <w:t xml:space="preserve">vychádza </w:t>
      </w:r>
      <w:r w:rsidR="005B47D1" w:rsidRPr="001370F7">
        <w:rPr>
          <w:rFonts w:ascii="Arial Narrow" w:hAnsi="Arial Narrow"/>
          <w:b/>
        </w:rPr>
        <w:t xml:space="preserve">z </w:t>
      </w:r>
      <w:r w:rsidR="00265089" w:rsidRPr="001370F7">
        <w:rPr>
          <w:rFonts w:ascii="Arial Narrow" w:hAnsi="Arial Narrow"/>
          <w:b/>
        </w:rPr>
        <w:t>Metodick</w:t>
      </w:r>
      <w:r w:rsidR="005B47D1" w:rsidRPr="001370F7">
        <w:rPr>
          <w:rFonts w:ascii="Arial Narrow" w:hAnsi="Arial Narrow"/>
          <w:b/>
        </w:rPr>
        <w:t>ého</w:t>
      </w:r>
      <w:r w:rsidR="00265089" w:rsidRPr="001370F7">
        <w:rPr>
          <w:rFonts w:ascii="Arial Narrow" w:hAnsi="Arial Narrow"/>
          <w:b/>
        </w:rPr>
        <w:t xml:space="preserve"> pokyn</w:t>
      </w:r>
      <w:r w:rsidR="005B47D1" w:rsidRPr="001370F7">
        <w:rPr>
          <w:rFonts w:ascii="Arial Narrow" w:hAnsi="Arial Narrow"/>
          <w:b/>
        </w:rPr>
        <w:t>u</w:t>
      </w:r>
      <w:r w:rsidR="00265089" w:rsidRPr="001370F7">
        <w:rPr>
          <w:rFonts w:ascii="Arial Narrow" w:hAnsi="Arial Narrow"/>
          <w:b/>
        </w:rPr>
        <w:t xml:space="preserve"> CKO</w:t>
      </w:r>
      <w:r w:rsidR="005B47D1" w:rsidRPr="001370F7">
        <w:rPr>
          <w:rFonts w:ascii="Arial Narrow" w:hAnsi="Arial Narrow"/>
          <w:b/>
        </w:rPr>
        <w:t xml:space="preserve"> č. 18</w:t>
      </w:r>
      <w:r w:rsidR="00265089" w:rsidRPr="001370F7">
        <w:rPr>
          <w:rFonts w:ascii="Arial Narrow" w:hAnsi="Arial Narrow"/>
          <w:b/>
        </w:rPr>
        <w:t xml:space="preserve"> </w:t>
      </w:r>
      <w:bookmarkStart w:id="2" w:name="_Toc404872121"/>
      <w:bookmarkStart w:id="3" w:name="_Toc404872046"/>
      <w:r w:rsidR="00194F7E" w:rsidRPr="001370F7">
        <w:rPr>
          <w:rFonts w:ascii="Arial Narrow" w:hAnsi="Arial Narrow"/>
          <w:b/>
        </w:rPr>
        <w:t>k overovaniu hospodárnosti výdavkov</w:t>
      </w:r>
      <w:r w:rsidR="00194F7E" w:rsidRPr="00C03D45">
        <w:rPr>
          <w:rFonts w:ascii="Arial Narrow" w:hAnsi="Arial Narrow"/>
        </w:rPr>
        <w:t xml:space="preserve"> (ďalej len „metodický pokyn</w:t>
      </w:r>
      <w:r w:rsidR="009350A3" w:rsidRPr="00C03D45">
        <w:rPr>
          <w:rFonts w:ascii="Arial Narrow" w:hAnsi="Arial Narrow"/>
        </w:rPr>
        <w:t xml:space="preserve"> č. 18</w:t>
      </w:r>
      <w:r w:rsidR="00194F7E" w:rsidRPr="00C03D45">
        <w:rPr>
          <w:rFonts w:ascii="Arial Narrow" w:hAnsi="Arial Narrow"/>
        </w:rPr>
        <w:t>“)</w:t>
      </w:r>
      <w:r w:rsidR="009350A3" w:rsidRPr="00C03D45">
        <w:rPr>
          <w:rFonts w:ascii="Arial Narrow" w:hAnsi="Arial Narrow"/>
        </w:rPr>
        <w:t>, ktorý</w:t>
      </w:r>
      <w:r w:rsidR="00194F7E" w:rsidRPr="00C03D45">
        <w:rPr>
          <w:rFonts w:ascii="Arial Narrow" w:hAnsi="Arial Narrow"/>
        </w:rPr>
        <w:t xml:space="preserve"> </w:t>
      </w:r>
      <w:r w:rsidR="00265089" w:rsidRPr="00C03D45">
        <w:rPr>
          <w:rFonts w:ascii="Arial Narrow" w:hAnsi="Arial Narrow"/>
        </w:rPr>
        <w:t>formuluje</w:t>
      </w:r>
      <w:r w:rsidR="00194F7E" w:rsidRPr="00C03D45">
        <w:rPr>
          <w:rFonts w:ascii="Arial Narrow" w:hAnsi="Arial Narrow"/>
        </w:rPr>
        <w:t xml:space="preserve"> základné postupy pre proces posudzovania zásady hospodárnosti</w:t>
      </w:r>
      <w:r w:rsidR="00194F7E" w:rsidRPr="00C03D45">
        <w:rPr>
          <w:rStyle w:val="Odkaznapoznmkupodiarou"/>
          <w:rFonts w:ascii="Arial Narrow" w:hAnsi="Arial Narrow"/>
        </w:rPr>
        <w:footnoteReference w:id="1"/>
      </w:r>
      <w:r w:rsidR="00194F7E" w:rsidRPr="00C03D45">
        <w:rPr>
          <w:rFonts w:ascii="Arial Narrow" w:hAnsi="Arial Narrow"/>
        </w:rPr>
        <w:t xml:space="preserve"> výdavkov projektov, resp. žiadostí o nenávratný finančný príspevok</w:t>
      </w:r>
      <w:r w:rsidR="00C14E3E" w:rsidRPr="00C03D45">
        <w:rPr>
          <w:rFonts w:ascii="Arial Narrow" w:hAnsi="Arial Narrow"/>
        </w:rPr>
        <w:t xml:space="preserve"> (ďalej len „ŽoNFP“)</w:t>
      </w:r>
      <w:r w:rsidR="00194F7E" w:rsidRPr="00C03D45">
        <w:rPr>
          <w:rFonts w:ascii="Arial Narrow" w:hAnsi="Arial Narrow"/>
        </w:rPr>
        <w:t>.</w:t>
      </w:r>
      <w:r w:rsidR="00265089" w:rsidRPr="00C03D45">
        <w:rPr>
          <w:rFonts w:ascii="Arial Narrow" w:hAnsi="Arial Narrow"/>
        </w:rPr>
        <w:t xml:space="preserve"> Metodický pokyn </w:t>
      </w:r>
      <w:r w:rsidR="00D35E8B" w:rsidRPr="00C03D45">
        <w:rPr>
          <w:rFonts w:ascii="Arial Narrow" w:hAnsi="Arial Narrow"/>
        </w:rPr>
        <w:t>č. 18</w:t>
      </w:r>
      <w:r w:rsidR="00662D19">
        <w:rPr>
          <w:rFonts w:ascii="Arial Narrow" w:hAnsi="Arial Narrow"/>
        </w:rPr>
        <w:t xml:space="preserve"> </w:t>
      </w:r>
      <w:r w:rsidR="00D35E8B" w:rsidRPr="00C03D45">
        <w:rPr>
          <w:rFonts w:ascii="Arial Narrow" w:hAnsi="Arial Narrow"/>
        </w:rPr>
        <w:t xml:space="preserve"> </w:t>
      </w:r>
      <w:r w:rsidR="00265089" w:rsidRPr="00C03D45">
        <w:rPr>
          <w:rFonts w:ascii="Arial Narrow" w:hAnsi="Arial Narrow"/>
        </w:rPr>
        <w:t xml:space="preserve">poskytuje </w:t>
      </w:r>
      <w:r w:rsidR="00194F7E" w:rsidRPr="00C03D45">
        <w:rPr>
          <w:rFonts w:ascii="Arial Narrow" w:hAnsi="Arial Narrow"/>
        </w:rPr>
        <w:t>prehľad odporúčaní, nástrojov a postupov pri posudzovaní zásady hospodárnosti výdavkov, čím však nie je dotknutá povinnosť</w:t>
      </w:r>
      <w:r w:rsidR="00D35E8B" w:rsidRPr="00C03D45">
        <w:rPr>
          <w:rFonts w:ascii="Arial Narrow" w:hAnsi="Arial Narrow"/>
        </w:rPr>
        <w:t xml:space="preserve"> SO</w:t>
      </w:r>
      <w:r w:rsidR="00194F7E" w:rsidRPr="00C03D45">
        <w:rPr>
          <w:rFonts w:ascii="Arial Narrow" w:hAnsi="Arial Narrow"/>
        </w:rPr>
        <w:t xml:space="preserve"> overovať efektívnosť, účinnosť a účelnosť využitia výdavkov projektu.</w:t>
      </w:r>
      <w:r w:rsidR="00E33559" w:rsidRPr="00C03D45">
        <w:rPr>
          <w:rFonts w:ascii="Arial Narrow" w:hAnsi="Arial Narrow"/>
        </w:rPr>
        <w:t xml:space="preserve"> </w:t>
      </w:r>
      <w:r w:rsidR="00265089" w:rsidRPr="00C03D45">
        <w:rPr>
          <w:rFonts w:ascii="Arial Narrow" w:hAnsi="Arial Narrow" w:cs="Times New Roman"/>
        </w:rPr>
        <w:t>S</w:t>
      </w:r>
      <w:r w:rsidR="00194F7E" w:rsidRPr="00C03D45">
        <w:rPr>
          <w:rFonts w:ascii="Arial Narrow" w:hAnsi="Arial Narrow" w:cs="Times New Roman"/>
        </w:rPr>
        <w:t xml:space="preserve">O je teda oprávnený definovať procesy, postupy, nástroje overovania zásady hospodárnosti odlišným spôsobom pri dodržaní požiadaviek vyplývajúcich zo Systému riadenia európskych štrukturálnych a investičných fondov na programové obdobie 2014 - 2020 </w:t>
      </w:r>
      <w:r w:rsidR="00450CA3" w:rsidRPr="00C03D45">
        <w:rPr>
          <w:rFonts w:ascii="Arial Narrow" w:hAnsi="Arial Narrow" w:cs="Times New Roman"/>
        </w:rPr>
        <w:t xml:space="preserve">(ďalej „SR EŠIF“) </w:t>
      </w:r>
      <w:r w:rsidR="00194F7E" w:rsidRPr="00C03D45">
        <w:rPr>
          <w:rFonts w:ascii="Arial Narrow" w:hAnsi="Arial Narrow" w:cs="Times New Roman"/>
        </w:rPr>
        <w:t>a </w:t>
      </w:r>
      <w:r w:rsidR="004056A1" w:rsidRPr="00C03D45">
        <w:rPr>
          <w:rFonts w:ascii="Arial Narrow" w:hAnsi="Arial Narrow" w:cs="Times New Roman"/>
        </w:rPr>
        <w:t>M</w:t>
      </w:r>
      <w:r w:rsidR="00194F7E" w:rsidRPr="00C03D45">
        <w:rPr>
          <w:rFonts w:ascii="Arial Narrow" w:hAnsi="Arial Narrow" w:cs="Times New Roman"/>
        </w:rPr>
        <w:t>etodického pokynu CKO č. 6 k pravidlám oprávnenosti pre najčastejšie sa vyskytujúce skupiny výdavkov, ktoré predstavujú základné východiská pre posudzovani</w:t>
      </w:r>
      <w:r w:rsidR="00D35E8B" w:rsidRPr="00C03D45">
        <w:rPr>
          <w:rFonts w:ascii="Arial Narrow" w:hAnsi="Arial Narrow" w:cs="Times New Roman"/>
        </w:rPr>
        <w:t>e</w:t>
      </w:r>
      <w:r w:rsidR="00194F7E" w:rsidRPr="00C03D45">
        <w:rPr>
          <w:rFonts w:ascii="Arial Narrow" w:hAnsi="Arial Narrow" w:cs="Times New Roman"/>
        </w:rPr>
        <w:t xml:space="preserve"> zásady hospodárnosti.</w:t>
      </w:r>
    </w:p>
    <w:p w14:paraId="6304E5D2" w14:textId="17CA5E6F" w:rsidR="00194F7E" w:rsidRPr="00C03D45" w:rsidRDefault="00265089" w:rsidP="006013AC">
      <w:pPr>
        <w:jc w:val="both"/>
        <w:rPr>
          <w:rFonts w:ascii="Arial Narrow" w:hAnsi="Arial Narrow"/>
        </w:rPr>
      </w:pPr>
      <w:r w:rsidRPr="00C03D45">
        <w:rPr>
          <w:rFonts w:ascii="Arial Narrow" w:hAnsi="Arial Narrow" w:cs="Times New Roman"/>
        </w:rPr>
        <w:t xml:space="preserve">Posudzovanie </w:t>
      </w:r>
      <w:bookmarkEnd w:id="2"/>
      <w:bookmarkEnd w:id="3"/>
      <w:r w:rsidR="00194F7E" w:rsidRPr="00C03D45">
        <w:rPr>
          <w:rFonts w:ascii="Arial Narrow" w:hAnsi="Arial Narrow"/>
        </w:rPr>
        <w:t>oprávnenos</w:t>
      </w:r>
      <w:r w:rsidRPr="00C03D45">
        <w:rPr>
          <w:rFonts w:ascii="Arial Narrow" w:hAnsi="Arial Narrow"/>
        </w:rPr>
        <w:t>ti</w:t>
      </w:r>
      <w:r w:rsidR="00194F7E" w:rsidRPr="00C03D45">
        <w:rPr>
          <w:rFonts w:ascii="Arial Narrow" w:hAnsi="Arial Narrow"/>
        </w:rPr>
        <w:t xml:space="preserve"> výdavkov projektu (</w:t>
      </w:r>
      <w:r w:rsidR="00C14E3E" w:rsidRPr="00C03D45">
        <w:rPr>
          <w:rFonts w:ascii="Arial Narrow" w:hAnsi="Arial Narrow"/>
        </w:rPr>
        <w:t>ŽoNFP</w:t>
      </w:r>
      <w:r w:rsidR="00194F7E" w:rsidRPr="00C03D45">
        <w:rPr>
          <w:rFonts w:ascii="Arial Narrow" w:hAnsi="Arial Narrow"/>
        </w:rPr>
        <w:t>) z hľadiska hospodárnosti</w:t>
      </w:r>
      <w:r w:rsidR="00194F7E" w:rsidRPr="00C03D45">
        <w:rPr>
          <w:rStyle w:val="Odkaznapoznmkupodiarou"/>
          <w:rFonts w:ascii="Arial Narrow" w:hAnsi="Arial Narrow"/>
        </w:rPr>
        <w:footnoteReference w:id="2"/>
      </w:r>
      <w:r w:rsidR="00194F7E" w:rsidRPr="00C03D45">
        <w:rPr>
          <w:rFonts w:ascii="Arial Narrow" w:hAnsi="Arial Narrow"/>
        </w:rPr>
        <w:t xml:space="preserve"> </w:t>
      </w:r>
      <w:r w:rsidRPr="00C03D45">
        <w:rPr>
          <w:rFonts w:ascii="Arial Narrow" w:hAnsi="Arial Narrow"/>
        </w:rPr>
        <w:t xml:space="preserve">je realizované </w:t>
      </w:r>
      <w:r w:rsidR="00194F7E" w:rsidRPr="00C03D45">
        <w:rPr>
          <w:rFonts w:ascii="Arial Narrow" w:hAnsi="Arial Narrow"/>
        </w:rPr>
        <w:t>primárne v nasledovných oblastiach implementácie:</w:t>
      </w:r>
    </w:p>
    <w:p w14:paraId="4DF1A7EB" w14:textId="0A025D85" w:rsidR="00194F7E" w:rsidRPr="00C03D45" w:rsidRDefault="00194F7E" w:rsidP="006013AC">
      <w:pPr>
        <w:pStyle w:val="Odsekzoznamu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>konanie o </w:t>
      </w:r>
      <w:r w:rsidR="00C14E3E" w:rsidRPr="00C03D45">
        <w:rPr>
          <w:rFonts w:ascii="Arial Narrow" w:hAnsi="Arial Narrow"/>
        </w:rPr>
        <w:t>ŽoNFP</w:t>
      </w:r>
      <w:r w:rsidRPr="00C03D45">
        <w:rPr>
          <w:rFonts w:ascii="Arial Narrow" w:hAnsi="Arial Narrow"/>
        </w:rPr>
        <w:t>,</w:t>
      </w:r>
    </w:p>
    <w:p w14:paraId="4AC3BB29" w14:textId="4305A64C" w:rsidR="00194F7E" w:rsidRPr="00C03D45" w:rsidRDefault="00194F7E" w:rsidP="006013AC">
      <w:pPr>
        <w:pStyle w:val="Odsekzoznamu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 xml:space="preserve">priebeh realizácie projektu, </w:t>
      </w:r>
    </w:p>
    <w:p w14:paraId="51EFF719" w14:textId="4C6F2C41" w:rsidR="00194F7E" w:rsidRPr="00C03D45" w:rsidRDefault="00194F7E" w:rsidP="006013AC">
      <w:pPr>
        <w:pStyle w:val="Odsekzoznamu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 xml:space="preserve">verejné obstarávanie a obstarávanie nespadajúce pod pravidlá verejného obstarávania. </w:t>
      </w:r>
    </w:p>
    <w:p w14:paraId="7740AC02" w14:textId="566A105E" w:rsidR="00C34AE3" w:rsidRPr="00C34AE3" w:rsidRDefault="00C34AE3" w:rsidP="00137DDA">
      <w:pPr>
        <w:jc w:val="both"/>
        <w:rPr>
          <w:lang w:eastAsia="sk-SK"/>
        </w:rPr>
      </w:pPr>
      <w:r w:rsidRPr="00CD30E3">
        <w:rPr>
          <w:rFonts w:ascii="Arial Narrow" w:hAnsi="Arial Narrow"/>
        </w:rPr>
        <w:t xml:space="preserve">Žiadateľ/prijímateľ v zmysle osobitných predpisov pri používaní verejných prostriedkov, ktorým je aj nenávratný finančný príspevok, zachováva zásadu hospodárnosti. Žiadateľ/prijímateľ sa nezbavuje výlučnej a konečnej zodpovednosti za nedodržanie zásady hospodárnosti úkonom </w:t>
      </w:r>
      <w:r>
        <w:rPr>
          <w:rFonts w:ascii="Arial Narrow" w:hAnsi="Arial Narrow"/>
        </w:rPr>
        <w:t>S</w:t>
      </w:r>
      <w:r w:rsidRPr="00CD30E3">
        <w:rPr>
          <w:rFonts w:ascii="Arial Narrow" w:hAnsi="Arial Narrow"/>
        </w:rPr>
        <w:t>O uskutočneným v</w:t>
      </w:r>
      <w:r>
        <w:rPr>
          <w:rFonts w:ascii="Arial Narrow" w:hAnsi="Arial Narrow"/>
        </w:rPr>
        <w:t>o vyššie uvedených</w:t>
      </w:r>
      <w:r w:rsidRPr="00CD30E3">
        <w:rPr>
          <w:rFonts w:ascii="Arial Narrow" w:hAnsi="Arial Narrow"/>
        </w:rPr>
        <w:t> o</w:t>
      </w:r>
      <w:r>
        <w:rPr>
          <w:rFonts w:ascii="Arial Narrow" w:hAnsi="Arial Narrow"/>
        </w:rPr>
        <w:t>blastiach implementácie</w:t>
      </w:r>
      <w:r w:rsidRPr="00CD30E3">
        <w:rPr>
          <w:rFonts w:ascii="Arial Narrow" w:hAnsi="Arial Narrow"/>
        </w:rPr>
        <w:t>, ktorým neidentifikoval porušenie zásady hospodárnosti.</w:t>
      </w:r>
    </w:p>
    <w:p w14:paraId="7DE766CD" w14:textId="2770A4DB" w:rsidR="00194F7E" w:rsidRDefault="00194F7E" w:rsidP="006013AC">
      <w:pPr>
        <w:pStyle w:val="SRKNorm"/>
        <w:numPr>
          <w:ilvl w:val="0"/>
          <w:numId w:val="0"/>
        </w:numPr>
        <w:spacing w:before="120" w:after="120"/>
        <w:rPr>
          <w:rFonts w:ascii="Arial Narrow" w:hAnsi="Arial Narrow"/>
          <w:sz w:val="22"/>
          <w:szCs w:val="22"/>
        </w:rPr>
      </w:pPr>
      <w:r w:rsidRPr="00C03D45">
        <w:rPr>
          <w:rFonts w:ascii="Arial Narrow" w:hAnsi="Arial Narrow"/>
          <w:sz w:val="22"/>
          <w:szCs w:val="22"/>
        </w:rPr>
        <w:t>Každá z vyššie uvedených oblastí má špecifické zameranie, rozsah, účel a časové začlenenie do implementačného procesu. Z uvedeného teda vyplýva, že aj rozsah a zameranie posúdenia zásady hospodárnosti je pre jednotlivé oblasti diferencované.</w:t>
      </w:r>
    </w:p>
    <w:p w14:paraId="315FB5D1" w14:textId="45606194" w:rsidR="006013AC" w:rsidRPr="00C03D45" w:rsidRDefault="00625CF7" w:rsidP="006013AC">
      <w:pPr>
        <w:pStyle w:val="Zkladntext"/>
        <w:spacing w:before="120" w:after="12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SO</w:t>
      </w:r>
      <w:r w:rsidR="00194F7E" w:rsidRPr="00C03D45">
        <w:rPr>
          <w:rFonts w:ascii="Arial Narrow" w:hAnsi="Arial Narrow"/>
          <w:szCs w:val="22"/>
        </w:rPr>
        <w:t xml:space="preserve"> pri posudzovaní hospodárnosti využíva tzv. pomocné nástroje</w:t>
      </w:r>
      <w:r w:rsidR="005A3F3C" w:rsidRPr="00C03D45">
        <w:rPr>
          <w:rFonts w:ascii="Arial Narrow" w:hAnsi="Arial Narrow"/>
          <w:szCs w:val="22"/>
        </w:rPr>
        <w:t xml:space="preserve"> (napr. finančné limity na úrovni jednotkových výdavkov, percentuálne limity na úrovni skupín výdavkov, prieskumy trhu, </w:t>
      </w:r>
      <w:r w:rsidR="003371B4" w:rsidRPr="00C03D45">
        <w:rPr>
          <w:rFonts w:ascii="Arial Narrow" w:hAnsi="Arial Narrow"/>
          <w:szCs w:val="22"/>
        </w:rPr>
        <w:t>a iné</w:t>
      </w:r>
      <w:r w:rsidR="005A3F3C" w:rsidRPr="00C03D45">
        <w:rPr>
          <w:rFonts w:ascii="Arial Narrow" w:hAnsi="Arial Narrow"/>
          <w:szCs w:val="22"/>
        </w:rPr>
        <w:t>)</w:t>
      </w:r>
      <w:r w:rsidR="00194F7E" w:rsidRPr="00C03D45">
        <w:rPr>
          <w:rFonts w:ascii="Arial Narrow" w:hAnsi="Arial Narrow"/>
          <w:szCs w:val="22"/>
        </w:rPr>
        <w:t>. Pomocné nástroje predstavujú prostriedky, resp. opatrenia, ktoré pomáhajú získať primerané uistenie o tom, že výdavky na realizované projekty (resp. uvádzané v </w:t>
      </w:r>
      <w:r w:rsidR="00C14E3E" w:rsidRPr="00C03D45">
        <w:rPr>
          <w:rFonts w:ascii="Arial Narrow" w:hAnsi="Arial Narrow"/>
          <w:szCs w:val="22"/>
        </w:rPr>
        <w:t>ŽoNFP</w:t>
      </w:r>
      <w:r w:rsidR="00194F7E" w:rsidRPr="00C03D45">
        <w:rPr>
          <w:rFonts w:ascii="Arial Narrow" w:hAnsi="Arial Narrow"/>
          <w:szCs w:val="22"/>
        </w:rPr>
        <w:t>) sú vynaložené hospodárne.</w:t>
      </w:r>
    </w:p>
    <w:p w14:paraId="3553EBF6" w14:textId="3388D839" w:rsidR="00194F7E" w:rsidRPr="00C03D45" w:rsidRDefault="00194F7E" w:rsidP="006013AC">
      <w:pPr>
        <w:pStyle w:val="Zoznamsodrkami"/>
        <w:numPr>
          <w:ilvl w:val="0"/>
          <w:numId w:val="0"/>
        </w:numPr>
        <w:tabs>
          <w:tab w:val="left" w:pos="0"/>
        </w:tabs>
        <w:spacing w:before="120" w:after="12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Aplikácia a </w:t>
      </w:r>
      <w:r w:rsidR="006742E7" w:rsidRPr="00C03D45">
        <w:rPr>
          <w:rFonts w:ascii="Arial Narrow" w:hAnsi="Arial Narrow"/>
          <w:szCs w:val="22"/>
        </w:rPr>
        <w:t>parametre pomocných nástrojov sú stanovené</w:t>
      </w:r>
      <w:r w:rsidRPr="00C03D45">
        <w:rPr>
          <w:rFonts w:ascii="Arial Narrow" w:hAnsi="Arial Narrow"/>
          <w:szCs w:val="22"/>
        </w:rPr>
        <w:t xml:space="preserve"> vopred (napr. vo výzve/vyzvaní, </w:t>
      </w:r>
      <w:r w:rsidR="00817563">
        <w:rPr>
          <w:rFonts w:ascii="Arial Narrow" w:hAnsi="Arial Narrow"/>
          <w:szCs w:val="22"/>
        </w:rPr>
        <w:t>P</w:t>
      </w:r>
      <w:r w:rsidRPr="00C03D45">
        <w:rPr>
          <w:rFonts w:ascii="Arial Narrow" w:hAnsi="Arial Narrow"/>
          <w:szCs w:val="22"/>
        </w:rPr>
        <w:t>ríručke pre žiadateľa</w:t>
      </w:r>
      <w:r w:rsidR="00817563">
        <w:rPr>
          <w:rFonts w:ascii="Arial Narrow" w:hAnsi="Arial Narrow"/>
          <w:szCs w:val="22"/>
        </w:rPr>
        <w:t xml:space="preserve"> </w:t>
      </w:r>
      <w:r w:rsidR="00817563" w:rsidRPr="00137DDA">
        <w:rPr>
          <w:rFonts w:ascii="Arial Narrow" w:hAnsi="Arial Narrow"/>
          <w:lang w:eastAsia="sk-SK"/>
        </w:rPr>
        <w:t>OPII pre PO7 Informačná spoločnosť</w:t>
      </w:r>
      <w:r w:rsidRPr="00C03D45">
        <w:rPr>
          <w:rFonts w:ascii="Arial Narrow" w:hAnsi="Arial Narrow"/>
          <w:szCs w:val="22"/>
        </w:rPr>
        <w:t>) z dôvodu zásady transparentnosti a rovnosti zaobchádzania.</w:t>
      </w:r>
    </w:p>
    <w:p w14:paraId="6F901B4C" w14:textId="23DBCC70" w:rsidR="00BD7D5D" w:rsidRPr="00C03D45" w:rsidRDefault="006013AC" w:rsidP="006013AC">
      <w:pPr>
        <w:pStyle w:val="Zoznamsodrkami"/>
        <w:numPr>
          <w:ilvl w:val="0"/>
          <w:numId w:val="0"/>
        </w:numPr>
        <w:tabs>
          <w:tab w:val="left" w:pos="0"/>
        </w:tabs>
        <w:spacing w:before="120" w:after="12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Metodika</w:t>
      </w:r>
      <w:r w:rsidR="008039C6" w:rsidRPr="00C03D45">
        <w:rPr>
          <w:rFonts w:ascii="Arial Narrow" w:hAnsi="Arial Narrow"/>
          <w:szCs w:val="22"/>
        </w:rPr>
        <w:t xml:space="preserve"> </w:t>
      </w:r>
      <w:r w:rsidR="00477CB8" w:rsidRPr="00C03D45">
        <w:rPr>
          <w:rFonts w:ascii="Arial Narrow" w:hAnsi="Arial Narrow"/>
        </w:rPr>
        <w:t xml:space="preserve">využívania nástrojov </w:t>
      </w:r>
      <w:r w:rsidR="00477CB8">
        <w:rPr>
          <w:rFonts w:ascii="Arial Narrow" w:hAnsi="Arial Narrow"/>
        </w:rPr>
        <w:t xml:space="preserve">na overenie </w:t>
      </w:r>
      <w:r w:rsidR="00477CB8" w:rsidRPr="00C03D45">
        <w:rPr>
          <w:rFonts w:ascii="Arial Narrow" w:hAnsi="Arial Narrow"/>
        </w:rPr>
        <w:t>hospodárnosti a efektívnosti výdavkov v rámci Prioritnej osi 7</w:t>
      </w:r>
      <w:r w:rsidR="00477CB8">
        <w:rPr>
          <w:rFonts w:ascii="Arial Narrow" w:hAnsi="Arial Narrow"/>
        </w:rPr>
        <w:t xml:space="preserve"> Informačná spoločnosť</w:t>
      </w:r>
      <w:r w:rsidR="00477CB8" w:rsidRPr="00C03D45">
        <w:rPr>
          <w:rFonts w:ascii="Arial Narrow" w:hAnsi="Arial Narrow"/>
        </w:rPr>
        <w:t xml:space="preserve"> Operačného programu Integrovaná infraštruktúra </w:t>
      </w:r>
      <w:r w:rsidR="00477CB8">
        <w:rPr>
          <w:rFonts w:ascii="Arial Narrow" w:hAnsi="Arial Narrow"/>
        </w:rPr>
        <w:t xml:space="preserve">(ďalej len „metodika“) </w:t>
      </w:r>
      <w:r w:rsidR="008039C6" w:rsidRPr="00C03D45">
        <w:rPr>
          <w:rFonts w:ascii="Arial Narrow" w:hAnsi="Arial Narrow"/>
          <w:szCs w:val="22"/>
        </w:rPr>
        <w:t>obsahuje</w:t>
      </w:r>
      <w:r w:rsidR="004635F5" w:rsidRPr="00C03D45">
        <w:rPr>
          <w:rFonts w:ascii="Arial Narrow" w:hAnsi="Arial Narrow"/>
          <w:szCs w:val="22"/>
        </w:rPr>
        <w:t>/</w:t>
      </w:r>
      <w:r w:rsidRPr="00C03D45">
        <w:rPr>
          <w:rFonts w:ascii="Arial Narrow" w:hAnsi="Arial Narrow"/>
          <w:szCs w:val="22"/>
        </w:rPr>
        <w:t xml:space="preserve">stanovuje </w:t>
      </w:r>
      <w:r w:rsidR="003B5976" w:rsidRPr="00C03D45">
        <w:rPr>
          <w:rFonts w:ascii="Arial Narrow" w:hAnsi="Arial Narrow"/>
          <w:szCs w:val="22"/>
        </w:rPr>
        <w:t>zoznam</w:t>
      </w:r>
      <w:r w:rsidR="008039C6" w:rsidRPr="00C03D45">
        <w:rPr>
          <w:rFonts w:ascii="Arial Narrow" w:hAnsi="Arial Narrow"/>
          <w:szCs w:val="22"/>
        </w:rPr>
        <w:t xml:space="preserve"> a stručný popis</w:t>
      </w:r>
      <w:r w:rsidR="003B5976" w:rsidRPr="00C03D45">
        <w:rPr>
          <w:rFonts w:ascii="Arial Narrow" w:hAnsi="Arial Narrow"/>
          <w:szCs w:val="22"/>
        </w:rPr>
        <w:t xml:space="preserve"> jednotlivých nástrojov, ktoré budú využívan</w:t>
      </w:r>
      <w:r w:rsidR="00B84EF1" w:rsidRPr="00C03D45">
        <w:rPr>
          <w:rFonts w:ascii="Arial Narrow" w:hAnsi="Arial Narrow"/>
          <w:szCs w:val="22"/>
        </w:rPr>
        <w:t>é</w:t>
      </w:r>
      <w:r w:rsidR="003B5976" w:rsidRPr="00C03D45">
        <w:rPr>
          <w:rFonts w:ascii="Arial Narrow" w:hAnsi="Arial Narrow"/>
          <w:szCs w:val="22"/>
        </w:rPr>
        <w:t xml:space="preserve"> v rámci </w:t>
      </w:r>
      <w:r w:rsidR="0079346A">
        <w:rPr>
          <w:rFonts w:ascii="Arial Narrow" w:hAnsi="Arial Narrow"/>
          <w:szCs w:val="22"/>
        </w:rPr>
        <w:t>PO</w:t>
      </w:r>
      <w:r w:rsidR="008039C6" w:rsidRPr="00C03D45">
        <w:rPr>
          <w:rFonts w:ascii="Arial Narrow" w:hAnsi="Arial Narrow"/>
          <w:szCs w:val="22"/>
        </w:rPr>
        <w:t>7 OPII,</w:t>
      </w:r>
      <w:r w:rsidR="007F0895" w:rsidRPr="00C03D45">
        <w:rPr>
          <w:rFonts w:ascii="Arial Narrow" w:hAnsi="Arial Narrow"/>
          <w:szCs w:val="22"/>
        </w:rPr>
        <w:t xml:space="preserve"> zdôvodnenie ich </w:t>
      </w:r>
      <w:r w:rsidR="007F0895" w:rsidRPr="00C03D45">
        <w:rPr>
          <w:rFonts w:ascii="Arial Narrow" w:hAnsi="Arial Narrow"/>
          <w:szCs w:val="22"/>
        </w:rPr>
        <w:lastRenderedPageBreak/>
        <w:t>aplikovania a maticu, ktorá definuje</w:t>
      </w:r>
      <w:r w:rsidR="008039C6" w:rsidRPr="00C03D45">
        <w:rPr>
          <w:rFonts w:ascii="Arial Narrow" w:hAnsi="Arial Narrow"/>
          <w:szCs w:val="22"/>
        </w:rPr>
        <w:t xml:space="preserve"> </w:t>
      </w:r>
      <w:r w:rsidR="003B5976" w:rsidRPr="00C03D45">
        <w:rPr>
          <w:rFonts w:ascii="Arial Narrow" w:hAnsi="Arial Narrow"/>
          <w:szCs w:val="22"/>
        </w:rPr>
        <w:t>akým spôsobom budú jednotlivé nástroje využívané pre konkrétne skupiny výdavkov</w:t>
      </w:r>
      <w:r w:rsidR="007F0895" w:rsidRPr="00C03D45">
        <w:rPr>
          <w:rFonts w:ascii="Arial Narrow" w:hAnsi="Arial Narrow"/>
          <w:szCs w:val="22"/>
        </w:rPr>
        <w:t>.</w:t>
      </w:r>
    </w:p>
    <w:p w14:paraId="402B31BD" w14:textId="43BACA88" w:rsidR="00514108" w:rsidRPr="00751800" w:rsidRDefault="005F21BD" w:rsidP="00137DDA">
      <w:pPr>
        <w:pStyle w:val="Zoznamsodrkami"/>
        <w:numPr>
          <w:ilvl w:val="0"/>
          <w:numId w:val="0"/>
        </w:numPr>
        <w:tabs>
          <w:tab w:val="left" w:pos="0"/>
        </w:tabs>
        <w:spacing w:before="120" w:after="120"/>
        <w:rPr>
          <w:rFonts w:ascii="Arial Narrow" w:hAnsi="Arial Narrow"/>
          <w:szCs w:val="22"/>
        </w:rPr>
      </w:pPr>
      <w:r w:rsidRPr="001370F7">
        <w:rPr>
          <w:rFonts w:ascii="Arial Narrow" w:hAnsi="Arial Narrow"/>
        </w:rPr>
        <w:t>Tento dokument dopĺ</w:t>
      </w:r>
      <w:r w:rsidR="0011666C" w:rsidRPr="001370F7">
        <w:rPr>
          <w:rFonts w:ascii="Arial Narrow" w:hAnsi="Arial Narrow"/>
        </w:rPr>
        <w:t>ňa Manuál procedúr SO</w:t>
      </w:r>
      <w:r w:rsidR="00D97E77" w:rsidRPr="001370F7">
        <w:rPr>
          <w:rFonts w:ascii="Arial Narrow" w:hAnsi="Arial Narrow"/>
        </w:rPr>
        <w:t xml:space="preserve"> OPII PO7 Informačná spoločnosť</w:t>
      </w:r>
      <w:r w:rsidR="00192C31">
        <w:rPr>
          <w:rFonts w:ascii="Arial Narrow" w:hAnsi="Arial Narrow"/>
        </w:rPr>
        <w:t xml:space="preserve">, </w:t>
      </w:r>
      <w:r w:rsidR="00D97E77" w:rsidRPr="001370F7">
        <w:rPr>
          <w:rFonts w:ascii="Arial Narrow" w:hAnsi="Arial Narrow"/>
        </w:rPr>
        <w:t>P</w:t>
      </w:r>
      <w:r w:rsidR="0011666C" w:rsidRPr="001370F7">
        <w:rPr>
          <w:rFonts w:ascii="Arial Narrow" w:hAnsi="Arial Narrow"/>
        </w:rPr>
        <w:t xml:space="preserve">ríručku pre </w:t>
      </w:r>
      <w:r w:rsidR="00D97E77" w:rsidRPr="001370F7">
        <w:rPr>
          <w:rFonts w:ascii="Arial Narrow" w:hAnsi="Arial Narrow"/>
        </w:rPr>
        <w:t xml:space="preserve">odborných </w:t>
      </w:r>
      <w:r w:rsidR="0011666C" w:rsidRPr="001370F7">
        <w:rPr>
          <w:rFonts w:ascii="Arial Narrow" w:hAnsi="Arial Narrow"/>
        </w:rPr>
        <w:t>hodnotiteľ</w:t>
      </w:r>
      <w:r w:rsidR="00D97E77" w:rsidRPr="001370F7">
        <w:rPr>
          <w:rFonts w:ascii="Arial Narrow" w:hAnsi="Arial Narrow"/>
        </w:rPr>
        <w:t>ov</w:t>
      </w:r>
      <w:r w:rsidR="00AD01E1" w:rsidRPr="001370F7">
        <w:rPr>
          <w:rFonts w:ascii="Arial Narrow" w:hAnsi="Arial Narrow"/>
        </w:rPr>
        <w:t xml:space="preserve"> </w:t>
      </w:r>
      <w:r w:rsidR="00D97E77" w:rsidRPr="001370F7">
        <w:rPr>
          <w:rFonts w:ascii="Arial Narrow" w:hAnsi="Arial Narrow"/>
        </w:rPr>
        <w:t>- národné projekty</w:t>
      </w:r>
      <w:r w:rsidR="000C2C6D">
        <w:rPr>
          <w:rFonts w:ascii="Arial Narrow" w:hAnsi="Arial Narrow"/>
        </w:rPr>
        <w:t xml:space="preserve"> a</w:t>
      </w:r>
      <w:r w:rsidR="001B2C81" w:rsidRPr="001370F7">
        <w:rPr>
          <w:rFonts w:ascii="Arial Narrow" w:hAnsi="Arial Narrow"/>
        </w:rPr>
        <w:t xml:space="preserve"> Príručk</w:t>
      </w:r>
      <w:r w:rsidR="000C2C6D">
        <w:rPr>
          <w:rFonts w:ascii="Arial Narrow" w:hAnsi="Arial Narrow"/>
        </w:rPr>
        <w:t>y</w:t>
      </w:r>
      <w:r w:rsidR="001B2C81" w:rsidRPr="001370F7">
        <w:rPr>
          <w:rFonts w:ascii="Arial Narrow" w:hAnsi="Arial Narrow"/>
        </w:rPr>
        <w:t xml:space="preserve"> pre odborných hodnotiteľov</w:t>
      </w:r>
      <w:r w:rsidR="00D97E77" w:rsidRPr="001370F7">
        <w:rPr>
          <w:rFonts w:ascii="Arial Narrow" w:hAnsi="Arial Narrow"/>
        </w:rPr>
        <w:t xml:space="preserve"> </w:t>
      </w:r>
      <w:r w:rsidR="001B2C81" w:rsidRPr="001370F7">
        <w:rPr>
          <w:rFonts w:ascii="Arial Narrow" w:hAnsi="Arial Narrow"/>
        </w:rPr>
        <w:t>– dopytovo-orientované projekty</w:t>
      </w:r>
      <w:r w:rsidR="0011666C" w:rsidRPr="00192C31">
        <w:rPr>
          <w:rFonts w:ascii="Arial Narrow" w:hAnsi="Arial Narrow"/>
        </w:rPr>
        <w:t>.</w:t>
      </w:r>
      <w:r w:rsidRPr="00192C31">
        <w:rPr>
          <w:rFonts w:ascii="Arial Narrow" w:hAnsi="Arial Narrow"/>
        </w:rPr>
        <w:t xml:space="preserve"> Účinok jednotlivých nástrojov bude pravidelne monitorovaný a vyhodnocovaný. </w:t>
      </w:r>
      <w:r w:rsidR="00404356" w:rsidRPr="00192C31">
        <w:rPr>
          <w:rFonts w:ascii="Arial Narrow" w:hAnsi="Arial Narrow"/>
        </w:rPr>
        <w:t>Monitorovanie a vyhodnocovanie</w:t>
      </w:r>
      <w:r w:rsidR="00404356" w:rsidRPr="00162C53">
        <w:rPr>
          <w:rFonts w:ascii="Arial Narrow" w:hAnsi="Arial Narrow"/>
          <w:szCs w:val="22"/>
        </w:rPr>
        <w:t xml:space="preserve"> môže byť založené aj na základe sledovania a systematického vyhodnocovania zistení z auditov, certifikačných zistení a pod.</w:t>
      </w:r>
      <w:r w:rsidR="00404356">
        <w:rPr>
          <w:rFonts w:ascii="Arial Narrow" w:hAnsi="Arial Narrow"/>
          <w:szCs w:val="22"/>
        </w:rPr>
        <w:t xml:space="preserve"> V</w:t>
      </w:r>
      <w:r w:rsidR="00404356" w:rsidRPr="00162C53">
        <w:rPr>
          <w:rFonts w:ascii="Arial Narrow" w:hAnsi="Arial Narrow"/>
          <w:szCs w:val="22"/>
        </w:rPr>
        <w:t xml:space="preserve"> zmysle výsled</w:t>
      </w:r>
      <w:r w:rsidR="00404356">
        <w:rPr>
          <w:rFonts w:ascii="Arial Narrow" w:hAnsi="Arial Narrow"/>
          <w:szCs w:val="22"/>
        </w:rPr>
        <w:t>kov sa predmetný nástroj upraví</w:t>
      </w:r>
      <w:r w:rsidR="00404356" w:rsidRPr="00162C53">
        <w:rPr>
          <w:rFonts w:ascii="Arial Narrow" w:hAnsi="Arial Narrow"/>
          <w:szCs w:val="22"/>
        </w:rPr>
        <w:t xml:space="preserve"> alebo doplní.</w:t>
      </w:r>
      <w:r w:rsidR="00435C38">
        <w:rPr>
          <w:rFonts w:ascii="Arial Narrow" w:hAnsi="Arial Narrow"/>
          <w:szCs w:val="22"/>
        </w:rPr>
        <w:t xml:space="preserve"> </w:t>
      </w:r>
      <w:r w:rsidR="005E75DD" w:rsidRPr="00751800">
        <w:rPr>
          <w:rFonts w:ascii="Arial Narrow" w:hAnsi="Arial Narrow"/>
          <w:szCs w:val="22"/>
        </w:rPr>
        <w:t>Pravidlá na uplatňovanie percentuálnych limitov zohľadňujú časové hľadisko, t. j. dĺžku realizácie konkrétneho projektu (resp. dĺžku realizácie hlavnej aktivity projektu).</w:t>
      </w:r>
      <w:r w:rsidR="00DB12FC" w:rsidRPr="00751800">
        <w:rPr>
          <w:rFonts w:ascii="Arial Narrow" w:hAnsi="Arial Narrow"/>
          <w:szCs w:val="22"/>
        </w:rPr>
        <w:t xml:space="preserve"> Stanovené konkrétne hodnoty percentuálnych limitov môžu byť aktualizované v závislosti od vývoja trhových cien.</w:t>
      </w:r>
      <w:r w:rsidR="007F69AE" w:rsidRPr="00751800">
        <w:rPr>
          <w:rFonts w:ascii="Arial Narrow" w:hAnsi="Arial Narrow"/>
          <w:szCs w:val="22"/>
        </w:rPr>
        <w:t xml:space="preserve"> </w:t>
      </w:r>
      <w:r w:rsidR="00735FB9" w:rsidRPr="00751800">
        <w:rPr>
          <w:rFonts w:ascii="Arial Narrow" w:hAnsi="Arial Narrow"/>
          <w:szCs w:val="22"/>
        </w:rPr>
        <w:t xml:space="preserve">Percentuálne limity a skupiny výdavkov, na ktoré sa budú tieto limity vzťahovať, </w:t>
      </w:r>
      <w:r w:rsidR="000530AC" w:rsidRPr="00751800">
        <w:rPr>
          <w:rFonts w:ascii="Arial Narrow" w:hAnsi="Arial Narrow"/>
          <w:szCs w:val="22"/>
        </w:rPr>
        <w:t>S</w:t>
      </w:r>
      <w:r w:rsidR="00735FB9" w:rsidRPr="00751800">
        <w:rPr>
          <w:rFonts w:ascii="Arial Narrow" w:hAnsi="Arial Narrow"/>
          <w:szCs w:val="22"/>
        </w:rPr>
        <w:t>O môže stanoviť na základe historickej analýzy projektov implementovaných v programovom období 2007</w:t>
      </w:r>
      <w:r w:rsidR="00B80256">
        <w:rPr>
          <w:rFonts w:ascii="Arial Narrow" w:hAnsi="Arial Narrow"/>
          <w:szCs w:val="22"/>
        </w:rPr>
        <w:t xml:space="preserve"> </w:t>
      </w:r>
      <w:r w:rsidR="00B80256" w:rsidRPr="00C03D45">
        <w:rPr>
          <w:rFonts w:ascii="Arial Narrow" w:hAnsi="Arial Narrow"/>
        </w:rPr>
        <w:t>–</w:t>
      </w:r>
      <w:r w:rsidR="00B80256">
        <w:rPr>
          <w:rFonts w:ascii="Arial Narrow" w:hAnsi="Arial Narrow"/>
        </w:rPr>
        <w:t xml:space="preserve"> </w:t>
      </w:r>
      <w:r w:rsidR="00735FB9" w:rsidRPr="00751800">
        <w:rPr>
          <w:rFonts w:ascii="Arial Narrow" w:hAnsi="Arial Narrow"/>
          <w:szCs w:val="22"/>
        </w:rPr>
        <w:t>2013</w:t>
      </w:r>
      <w:r w:rsidR="00385442">
        <w:rPr>
          <w:rFonts w:ascii="Arial Narrow" w:hAnsi="Arial Narrow"/>
          <w:szCs w:val="22"/>
        </w:rPr>
        <w:t xml:space="preserve"> alebo 2014 - 2020</w:t>
      </w:r>
      <w:r w:rsidR="00735FB9" w:rsidRPr="00751800">
        <w:rPr>
          <w:rFonts w:ascii="Arial Narrow" w:hAnsi="Arial Narrow"/>
          <w:szCs w:val="22"/>
        </w:rPr>
        <w:t>, na základe prieskumu trhu alebo iným objektívnym spôsobom alebo kombináciou týchto metód. SO uchováva podpornú dokumentáciu, na základe ktorej boli percentuálne limity stanovené</w:t>
      </w:r>
      <w:r w:rsidR="0079346A">
        <w:rPr>
          <w:rFonts w:ascii="Arial Narrow" w:hAnsi="Arial Narrow"/>
          <w:szCs w:val="22"/>
        </w:rPr>
        <w:t>.</w:t>
      </w:r>
    </w:p>
    <w:p w14:paraId="0CB3051B" w14:textId="328DE6DC" w:rsidR="005F21BD" w:rsidRPr="00751800" w:rsidRDefault="005E75DD" w:rsidP="00514108">
      <w:pPr>
        <w:pStyle w:val="Obsah1"/>
        <w:jc w:val="both"/>
        <w:rPr>
          <w:rFonts w:ascii="Arial Narrow" w:eastAsia="Times New Roman" w:hAnsi="Arial Narrow" w:cs="Times New Roman"/>
          <w:b w:val="0"/>
          <w:bCs w:val="0"/>
          <w:sz w:val="22"/>
          <w:szCs w:val="22"/>
        </w:rPr>
      </w:pPr>
      <w:r w:rsidRPr="00751800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SO je oprávnený stanovené finančné limity priebežne aktualizovať tak, aby zodpovedali obvyklým cenám v danom mieste a čase.</w:t>
      </w:r>
      <w:r w:rsidR="00735FB9" w:rsidRPr="00751800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 xml:space="preserve"> Finančné limity SO stanoví na základe historickej analýzy jednotkových výdavkov v rámci projektov implementovaných v programovom období 2007</w:t>
      </w:r>
      <w:r w:rsidR="00B80256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 xml:space="preserve"> </w:t>
      </w:r>
      <w:r w:rsidR="00B80256" w:rsidRPr="00C03D45">
        <w:rPr>
          <w:rFonts w:ascii="Arial Narrow" w:hAnsi="Arial Narrow"/>
        </w:rPr>
        <w:t>–</w:t>
      </w:r>
      <w:r w:rsidR="00B80256">
        <w:rPr>
          <w:rFonts w:ascii="Arial Narrow" w:hAnsi="Arial Narrow"/>
        </w:rPr>
        <w:t xml:space="preserve"> </w:t>
      </w:r>
      <w:r w:rsidR="00735FB9" w:rsidRPr="00751800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2013</w:t>
      </w:r>
      <w:r w:rsidR="00CD579B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 xml:space="preserve"> a</w:t>
      </w:r>
      <w:r w:rsidR="00385442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lebo</w:t>
      </w:r>
      <w:r w:rsidR="00CD579B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 2014</w:t>
      </w:r>
      <w:r w:rsidR="00385442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 xml:space="preserve"> </w:t>
      </w:r>
      <w:r w:rsidR="00CD579B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-</w:t>
      </w:r>
      <w:r w:rsidR="00385442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 xml:space="preserve"> </w:t>
      </w:r>
      <w:r w:rsidR="00CD579B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2020</w:t>
      </w:r>
      <w:r w:rsidR="00735FB9" w:rsidRPr="00137DDA">
        <w:rPr>
          <w:rFonts w:ascii="Arial Narrow" w:eastAsia="Times New Roman" w:hAnsi="Arial Narrow" w:cs="Times New Roman"/>
          <w:b w:val="0"/>
          <w:bCs w:val="0"/>
          <w:sz w:val="22"/>
          <w:szCs w:val="22"/>
          <w:vertAlign w:val="superscript"/>
        </w:rPr>
        <w:footnoteReference w:id="3"/>
      </w:r>
      <w:r w:rsidR="00735FB9" w:rsidRPr="00137DDA">
        <w:rPr>
          <w:rFonts w:ascii="Arial Narrow" w:eastAsia="Times New Roman" w:hAnsi="Arial Narrow" w:cs="Times New Roman"/>
          <w:b w:val="0"/>
          <w:bCs w:val="0"/>
          <w:sz w:val="22"/>
          <w:szCs w:val="22"/>
          <w:vertAlign w:val="superscript"/>
        </w:rPr>
        <w:t>,</w:t>
      </w:r>
      <w:r w:rsidR="00735FB9" w:rsidRPr="00751800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 xml:space="preserve"> na základe prieskumu trhu alebo iným objektívnym spôsobom a</w:t>
      </w:r>
      <w:r w:rsidR="000530AC" w:rsidRPr="00751800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lebo kombináciou týchto metód. S</w:t>
      </w:r>
      <w:r w:rsidR="00735FB9" w:rsidRPr="00751800">
        <w:rPr>
          <w:rFonts w:ascii="Arial Narrow" w:eastAsia="Times New Roman" w:hAnsi="Arial Narrow" w:cs="Times New Roman"/>
          <w:b w:val="0"/>
          <w:bCs w:val="0"/>
          <w:sz w:val="22"/>
          <w:szCs w:val="22"/>
        </w:rPr>
        <w:t>O uchováva dokumentáciu, na základe ktorej boli finančné limity na úrovni jednotkových cien stanovené.</w:t>
      </w:r>
    </w:p>
    <w:p w14:paraId="36785971" w14:textId="370F24D6" w:rsidR="005F21BD" w:rsidRDefault="005F21BD" w:rsidP="00A602C9">
      <w:pPr>
        <w:pStyle w:val="Zoznamsodrkami"/>
        <w:numPr>
          <w:ilvl w:val="0"/>
          <w:numId w:val="0"/>
        </w:numPr>
        <w:tabs>
          <w:tab w:val="left" w:pos="708"/>
        </w:tabs>
        <w:spacing w:before="120" w:after="120"/>
        <w:rPr>
          <w:rFonts w:ascii="Arial Narrow" w:hAnsi="Arial Narrow"/>
          <w:szCs w:val="22"/>
        </w:rPr>
      </w:pPr>
    </w:p>
    <w:p w14:paraId="339A3E34" w14:textId="191FAB9B" w:rsidR="00BD7D5D" w:rsidRPr="00C03D45" w:rsidRDefault="00B84D3E" w:rsidP="007C10AC">
      <w:pPr>
        <w:pStyle w:val="Ob1"/>
        <w:numPr>
          <w:ilvl w:val="0"/>
          <w:numId w:val="37"/>
        </w:numPr>
        <w:ind w:left="426" w:hanging="426"/>
      </w:pPr>
      <w:bookmarkStart w:id="4" w:name="_Toc492905531"/>
      <w:bookmarkStart w:id="5" w:name="_Toc497831585"/>
      <w:bookmarkStart w:id="6" w:name="_Toc497833130"/>
      <w:bookmarkStart w:id="7" w:name="_Toc497980376"/>
      <w:bookmarkStart w:id="8" w:name="_Toc48031509"/>
      <w:bookmarkEnd w:id="4"/>
      <w:bookmarkEnd w:id="5"/>
      <w:bookmarkEnd w:id="6"/>
      <w:bookmarkEnd w:id="7"/>
      <w:r w:rsidRPr="00C03D45">
        <w:t>Uplatnenie metodiky a prehľad využívania jednotlivých nástrojov</w:t>
      </w:r>
      <w:bookmarkEnd w:id="8"/>
    </w:p>
    <w:p w14:paraId="3F51202A" w14:textId="4F2A8EA0" w:rsidR="00BD7D5D" w:rsidRPr="00C03D45" w:rsidRDefault="00B84D3E" w:rsidP="00B84D3E">
      <w:pPr>
        <w:jc w:val="both"/>
        <w:rPr>
          <w:rFonts w:ascii="Arial Narrow" w:hAnsi="Arial Narrow"/>
          <w:sz w:val="28"/>
          <w:szCs w:val="28"/>
        </w:rPr>
      </w:pPr>
      <w:r w:rsidRPr="00C03D45">
        <w:rPr>
          <w:rFonts w:ascii="Arial Narrow" w:eastAsia="Times New Roman" w:hAnsi="Arial Narrow" w:cs="Times New Roman"/>
        </w:rPr>
        <w:t>Metodika  v rámci</w:t>
      </w:r>
      <w:r w:rsidRPr="00C03D45">
        <w:rPr>
          <w:rFonts w:ascii="Arial Narrow" w:hAnsi="Arial Narrow"/>
        </w:rPr>
        <w:t xml:space="preserve"> hodnotiaceho procesu ŽoNFP sa vzťahuje na celú </w:t>
      </w:r>
      <w:r w:rsidR="00B25EF4">
        <w:rPr>
          <w:rFonts w:ascii="Arial Narrow" w:hAnsi="Arial Narrow"/>
        </w:rPr>
        <w:t>PO</w:t>
      </w:r>
      <w:r w:rsidRPr="00C03D45">
        <w:rPr>
          <w:rFonts w:ascii="Arial Narrow" w:hAnsi="Arial Narrow"/>
        </w:rPr>
        <w:t>7</w:t>
      </w:r>
      <w:r w:rsidR="00784E7A">
        <w:rPr>
          <w:rFonts w:ascii="Arial Narrow" w:hAnsi="Arial Narrow"/>
        </w:rPr>
        <w:t xml:space="preserve"> OPII</w:t>
      </w:r>
      <w:r w:rsidRPr="00C03D45">
        <w:rPr>
          <w:rFonts w:ascii="Arial Narrow" w:hAnsi="Arial Narrow"/>
        </w:rPr>
        <w:t xml:space="preserve"> a všetky jej špecifické ciele. Taktiež platí, že metodika sa vzťahuje na všetkých žiadateľov/prijímateľov </w:t>
      </w:r>
      <w:r w:rsidR="00B25EF4">
        <w:rPr>
          <w:rFonts w:ascii="Arial Narrow" w:hAnsi="Arial Narrow"/>
        </w:rPr>
        <w:t>PO</w:t>
      </w:r>
      <w:r w:rsidRPr="00C03D45">
        <w:rPr>
          <w:rFonts w:ascii="Arial Narrow" w:hAnsi="Arial Narrow"/>
        </w:rPr>
        <w:t>7 OPII. Využívanie jednotlivých nástrojov závisí od skupiny výdavkov</w:t>
      </w:r>
      <w:r w:rsidR="00BA0D4D" w:rsidRPr="00C03D45">
        <w:rPr>
          <w:rFonts w:ascii="Arial Narrow" w:hAnsi="Arial Narrow"/>
        </w:rPr>
        <w:t>, t</w:t>
      </w:r>
      <w:r w:rsidRPr="00C03D45">
        <w:rPr>
          <w:rFonts w:ascii="Arial Narrow" w:hAnsi="Arial Narrow"/>
        </w:rPr>
        <w:t>. z. pre jednotlivé skupiny výdavkov je možné využiť rozdielne nástroje v závislosti od charakteru výdavkov.</w:t>
      </w:r>
    </w:p>
    <w:p w14:paraId="44D7D61D" w14:textId="7B4FC122" w:rsidR="00071A0C" w:rsidRPr="00C03D45" w:rsidRDefault="006F23EC" w:rsidP="006F23EC">
      <w:pPr>
        <w:rPr>
          <w:rFonts w:ascii="Arial Narrow" w:hAnsi="Arial Narrow"/>
          <w:b/>
          <w:i/>
          <w:sz w:val="24"/>
          <w:szCs w:val="24"/>
        </w:rPr>
      </w:pPr>
      <w:r w:rsidRPr="00C03D45">
        <w:rPr>
          <w:rFonts w:ascii="Arial Narrow" w:hAnsi="Arial Narrow"/>
          <w:b/>
          <w:i/>
          <w:sz w:val="24"/>
          <w:szCs w:val="24"/>
        </w:rPr>
        <w:t xml:space="preserve">Zoznam nástrojov využívaných v rámci </w:t>
      </w:r>
      <w:r w:rsidR="003371B4" w:rsidRPr="00C03D45">
        <w:rPr>
          <w:rFonts w:ascii="Arial Narrow" w:hAnsi="Arial Narrow"/>
          <w:b/>
          <w:i/>
          <w:sz w:val="24"/>
          <w:szCs w:val="24"/>
        </w:rPr>
        <w:t>PO</w:t>
      </w:r>
      <w:r w:rsidRPr="00C03D45">
        <w:rPr>
          <w:rFonts w:ascii="Arial Narrow" w:hAnsi="Arial Narrow"/>
          <w:b/>
          <w:i/>
          <w:sz w:val="24"/>
          <w:szCs w:val="24"/>
        </w:rPr>
        <w:t>7 OPII</w:t>
      </w:r>
      <w:r w:rsidR="006742E7" w:rsidRPr="00C03D45">
        <w:rPr>
          <w:rFonts w:ascii="Arial Narrow" w:hAnsi="Arial Narrow"/>
          <w:b/>
          <w:i/>
          <w:sz w:val="24"/>
          <w:szCs w:val="24"/>
        </w:rPr>
        <w:t xml:space="preserve"> pre jednotlivé oblasti implementácie</w:t>
      </w:r>
      <w:r w:rsidRPr="00C03D45">
        <w:rPr>
          <w:rFonts w:ascii="Arial Narrow" w:hAnsi="Arial Narrow"/>
          <w:b/>
          <w:i/>
          <w:sz w:val="24"/>
          <w:szCs w:val="24"/>
        </w:rPr>
        <w:t>:</w:t>
      </w:r>
    </w:p>
    <w:p w14:paraId="691DD926" w14:textId="3920697C" w:rsidR="006742E7" w:rsidRPr="001C5B9C" w:rsidRDefault="006742E7" w:rsidP="00AA74B2">
      <w:pPr>
        <w:spacing w:after="0"/>
        <w:rPr>
          <w:rFonts w:ascii="Arial Narrow" w:hAnsi="Arial Narrow"/>
          <w:b/>
        </w:rPr>
      </w:pPr>
      <w:r w:rsidRPr="001C5B9C">
        <w:rPr>
          <w:rFonts w:ascii="Arial Narrow" w:hAnsi="Arial Narrow"/>
          <w:b/>
        </w:rPr>
        <w:t>Hodnotiaci proces</w:t>
      </w:r>
    </w:p>
    <w:p w14:paraId="111BFCA1" w14:textId="3255ED4C" w:rsidR="006F23EC" w:rsidRPr="00C03D45" w:rsidRDefault="006F23EC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štúdia uskutočniteľnosti</w:t>
      </w:r>
      <w:r w:rsidRPr="00C03D45">
        <w:rPr>
          <w:rFonts w:ascii="Arial Narrow" w:hAnsi="Arial Narrow"/>
        </w:rPr>
        <w:tab/>
      </w:r>
    </w:p>
    <w:p w14:paraId="0E41F1DE" w14:textId="3CD98949" w:rsidR="006F23EC" w:rsidRPr="00C03D45" w:rsidRDefault="00DC6D16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ukončené </w:t>
      </w:r>
      <w:r w:rsidR="006F23EC" w:rsidRPr="00C03D45">
        <w:rPr>
          <w:rFonts w:ascii="Arial Narrow" w:hAnsi="Arial Narrow"/>
        </w:rPr>
        <w:t>verejné obstarávanie</w:t>
      </w:r>
      <w:r>
        <w:rPr>
          <w:rFonts w:ascii="Arial Narrow" w:hAnsi="Arial Narrow"/>
        </w:rPr>
        <w:t>/obstarávanie</w:t>
      </w:r>
      <w:r w:rsidR="006F23EC" w:rsidRPr="00C03D45">
        <w:rPr>
          <w:rFonts w:ascii="Arial Narrow" w:hAnsi="Arial Narrow"/>
        </w:rPr>
        <w:tab/>
      </w:r>
    </w:p>
    <w:p w14:paraId="238910FC" w14:textId="3FFEDF59" w:rsidR="0011666C" w:rsidRPr="00C03D45" w:rsidRDefault="0011666C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zneoprávnenie skupiny, resp. typu výdavkov</w:t>
      </w:r>
    </w:p>
    <w:p w14:paraId="7D256FD8" w14:textId="69067C60" w:rsidR="006F23EC" w:rsidRPr="00C03D45" w:rsidRDefault="00087750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percentuálne limity pre jednotlivé skupiny výdavkov</w:t>
      </w:r>
      <w:r w:rsidR="006F23EC" w:rsidRPr="00C03D45">
        <w:rPr>
          <w:rFonts w:ascii="Arial Narrow" w:hAnsi="Arial Narrow"/>
        </w:rPr>
        <w:tab/>
      </w:r>
    </w:p>
    <w:p w14:paraId="6E8512DD" w14:textId="5BD5927C" w:rsidR="006F23EC" w:rsidRPr="00C03D45" w:rsidRDefault="006F23EC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finančné limity</w:t>
      </w:r>
      <w:r w:rsidRPr="00C03D45">
        <w:rPr>
          <w:rFonts w:ascii="Arial Narrow" w:hAnsi="Arial Narrow"/>
        </w:rPr>
        <w:tab/>
      </w:r>
    </w:p>
    <w:p w14:paraId="59FCCC53" w14:textId="257D50C1" w:rsidR="006F23EC" w:rsidRDefault="006F23EC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odborný posudok</w:t>
      </w:r>
      <w:r w:rsidR="00C35471" w:rsidRPr="00C35471">
        <w:rPr>
          <w:rFonts w:ascii="Arial Narrow" w:hAnsi="Arial Narrow" w:cs="Calibri"/>
          <w:bCs/>
          <w:lang w:eastAsia="cs-CZ"/>
        </w:rPr>
        <w:t>/úkon znalca</w:t>
      </w:r>
      <w:r w:rsidR="00C35471" w:rsidRPr="007E7D14">
        <w:rPr>
          <w:rFonts w:cs="Calibri"/>
          <w:bCs/>
          <w:sz w:val="20"/>
          <w:szCs w:val="20"/>
          <w:vertAlign w:val="superscript"/>
          <w:lang w:eastAsia="cs-CZ"/>
        </w:rPr>
        <w:footnoteReference w:id="4"/>
      </w:r>
    </w:p>
    <w:p w14:paraId="2BD63879" w14:textId="3E8DB21E" w:rsidR="001C5B9C" w:rsidRDefault="001C5B9C" w:rsidP="006F23EC">
      <w:pPr>
        <w:pStyle w:val="Odsekzoznamu"/>
        <w:numPr>
          <w:ilvl w:val="0"/>
          <w:numId w:val="13"/>
        </w:numPr>
        <w:spacing w:after="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prieskum trhu</w:t>
      </w:r>
    </w:p>
    <w:p w14:paraId="3DB135DB" w14:textId="77777777" w:rsidR="006742E7" w:rsidRPr="00C03D45" w:rsidRDefault="006742E7" w:rsidP="006742E7">
      <w:pPr>
        <w:spacing w:after="0"/>
        <w:rPr>
          <w:rFonts w:ascii="Arial Narrow" w:hAnsi="Arial Narrow"/>
        </w:rPr>
      </w:pPr>
    </w:p>
    <w:p w14:paraId="5D23E6A3" w14:textId="42D7E2B6" w:rsidR="006742E7" w:rsidRPr="00C03D45" w:rsidRDefault="006742E7" w:rsidP="006742E7">
      <w:pPr>
        <w:spacing w:after="0"/>
        <w:rPr>
          <w:rFonts w:ascii="Arial Narrow" w:hAnsi="Arial Narrow"/>
          <w:b/>
        </w:rPr>
      </w:pPr>
      <w:r w:rsidRPr="00C03D45">
        <w:rPr>
          <w:rFonts w:ascii="Arial Narrow" w:hAnsi="Arial Narrow"/>
          <w:b/>
        </w:rPr>
        <w:t>Priebeh realizácie projektu</w:t>
      </w:r>
    </w:p>
    <w:p w14:paraId="2B7B9C5B" w14:textId="10C9A3D3" w:rsidR="006742E7" w:rsidRPr="00C03D45" w:rsidRDefault="00DC6D16" w:rsidP="00137DDA">
      <w:pPr>
        <w:pStyle w:val="Odsekzoznamu"/>
        <w:numPr>
          <w:ilvl w:val="0"/>
          <w:numId w:val="42"/>
        </w:numPr>
        <w:spacing w:after="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ukončené </w:t>
      </w:r>
      <w:r w:rsidR="006742E7" w:rsidRPr="00C03D45">
        <w:rPr>
          <w:rFonts w:ascii="Arial Narrow" w:hAnsi="Arial Narrow"/>
        </w:rPr>
        <w:t>verejné obstarávanie</w:t>
      </w:r>
      <w:r>
        <w:rPr>
          <w:rFonts w:ascii="Arial Narrow" w:hAnsi="Arial Narrow"/>
        </w:rPr>
        <w:t>/obstarávanie</w:t>
      </w:r>
    </w:p>
    <w:p w14:paraId="344A7C2F" w14:textId="26EBD603" w:rsidR="006F23EC" w:rsidRPr="00C03D45" w:rsidRDefault="006F23EC" w:rsidP="00137DDA">
      <w:pPr>
        <w:pStyle w:val="Odsekzoznamu"/>
        <w:numPr>
          <w:ilvl w:val="0"/>
          <w:numId w:val="42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prieskum trhu</w:t>
      </w:r>
      <w:r w:rsidRPr="00C03D45">
        <w:rPr>
          <w:rFonts w:ascii="Arial Narrow" w:hAnsi="Arial Narrow"/>
        </w:rPr>
        <w:tab/>
      </w:r>
    </w:p>
    <w:p w14:paraId="5CF77A54" w14:textId="34C267F8" w:rsidR="006F23EC" w:rsidRDefault="00C35471" w:rsidP="00137DDA">
      <w:pPr>
        <w:pStyle w:val="Odsekzoznamu"/>
        <w:numPr>
          <w:ilvl w:val="0"/>
          <w:numId w:val="42"/>
        </w:numPr>
        <w:spacing w:after="0"/>
        <w:ind w:left="426" w:hanging="426"/>
        <w:rPr>
          <w:rFonts w:ascii="Arial Narrow" w:hAnsi="Arial Narrow"/>
        </w:rPr>
      </w:pPr>
      <w:r w:rsidRPr="00C03D45">
        <w:rPr>
          <w:rFonts w:ascii="Arial Narrow" w:hAnsi="Arial Narrow"/>
        </w:rPr>
        <w:t>odborný posudok</w:t>
      </w:r>
      <w:r w:rsidRPr="00C35471">
        <w:rPr>
          <w:rFonts w:ascii="Arial Narrow" w:hAnsi="Arial Narrow" w:cs="Calibri"/>
          <w:bCs/>
          <w:lang w:eastAsia="cs-CZ"/>
        </w:rPr>
        <w:t>/úkon</w:t>
      </w:r>
      <w:r w:rsidR="006F23EC" w:rsidRPr="00C03D45">
        <w:rPr>
          <w:rFonts w:ascii="Arial Narrow" w:hAnsi="Arial Narrow"/>
        </w:rPr>
        <w:t xml:space="preserve"> znalca</w:t>
      </w:r>
    </w:p>
    <w:p w14:paraId="211B5529" w14:textId="7E68EF29" w:rsidR="00FB2C56" w:rsidRPr="001370F7" w:rsidRDefault="00FB2C56" w:rsidP="001370F7">
      <w:pPr>
        <w:spacing w:after="0"/>
        <w:rPr>
          <w:rFonts w:ascii="Arial Narrow" w:hAnsi="Arial Narrow"/>
        </w:rPr>
      </w:pPr>
    </w:p>
    <w:p w14:paraId="2F7D8F06" w14:textId="77777777" w:rsidR="00DC6D16" w:rsidRPr="00DC6D16" w:rsidRDefault="00DC6D16" w:rsidP="00DC6D16">
      <w:pPr>
        <w:spacing w:after="0"/>
        <w:rPr>
          <w:rFonts w:ascii="Arial Narrow" w:hAnsi="Arial Narrow"/>
        </w:rPr>
      </w:pPr>
    </w:p>
    <w:p w14:paraId="12A56D73" w14:textId="538FD547" w:rsidR="00B944F6" w:rsidRPr="00DC6D16" w:rsidRDefault="00DC6D16" w:rsidP="00DC6D16">
      <w:pPr>
        <w:rPr>
          <w:rFonts w:ascii="Arial Narrow" w:hAnsi="Arial Narrow"/>
          <w:b/>
          <w:sz w:val="28"/>
          <w:szCs w:val="28"/>
        </w:rPr>
      </w:pPr>
      <w:r w:rsidRPr="00DC6D16">
        <w:rPr>
          <w:rFonts w:ascii="Arial Narrow" w:hAnsi="Arial Narrow"/>
          <w:b/>
        </w:rPr>
        <w:lastRenderedPageBreak/>
        <w:t>Pre všetky vyššie uvedené nástroje zároveň platí, že SO uchováva všetky podklady viaž</w:t>
      </w:r>
      <w:r w:rsidR="003117CF">
        <w:rPr>
          <w:rFonts w:ascii="Arial Narrow" w:hAnsi="Arial Narrow"/>
          <w:b/>
        </w:rPr>
        <w:t>u</w:t>
      </w:r>
      <w:r w:rsidRPr="00DC6D16">
        <w:rPr>
          <w:rFonts w:ascii="Arial Narrow" w:hAnsi="Arial Narrow"/>
          <w:b/>
        </w:rPr>
        <w:t>ce sa k určeniu a použitiu postupu na overenie hospodárnosti.</w:t>
      </w:r>
    </w:p>
    <w:p w14:paraId="273DFCAA" w14:textId="627D0E71" w:rsidR="00DB5D43" w:rsidRPr="00C03D45" w:rsidRDefault="00B84D3E" w:rsidP="007C10AC">
      <w:pPr>
        <w:pStyle w:val="Ob1"/>
        <w:numPr>
          <w:ilvl w:val="0"/>
          <w:numId w:val="37"/>
        </w:numPr>
        <w:ind w:left="426" w:hanging="426"/>
      </w:pPr>
      <w:bookmarkStart w:id="9" w:name="_Toc48031510"/>
      <w:r w:rsidRPr="00C03D45">
        <w:t xml:space="preserve">Využitie </w:t>
      </w:r>
      <w:r w:rsidR="0041048A" w:rsidRPr="00C03D45">
        <w:t>jednotlivých</w:t>
      </w:r>
      <w:r w:rsidRPr="00C03D45">
        <w:t xml:space="preserve"> nástrojov v závislosti od skupiny výdavkov</w:t>
      </w:r>
      <w:bookmarkEnd w:id="9"/>
    </w:p>
    <w:p w14:paraId="1A8A7A5F" w14:textId="274AF470" w:rsidR="006F23EC" w:rsidRPr="00C03D45" w:rsidRDefault="006F23EC" w:rsidP="006F23EC">
      <w:pPr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 xml:space="preserve">Nie všetky nástroje je možné alebo účelné použiť pri všetkých skupinách výdavkov. </w:t>
      </w:r>
      <w:r w:rsidR="00FE398F">
        <w:rPr>
          <w:rFonts w:ascii="Arial Narrow" w:hAnsi="Arial Narrow"/>
        </w:rPr>
        <w:t>N</w:t>
      </w:r>
      <w:r w:rsidRPr="00C03D45">
        <w:rPr>
          <w:rFonts w:ascii="Arial Narrow" w:hAnsi="Arial Narrow"/>
        </w:rPr>
        <w:t>iektoré</w:t>
      </w:r>
      <w:r w:rsidR="00FE398F">
        <w:rPr>
          <w:rFonts w:ascii="Arial Narrow" w:hAnsi="Arial Narrow"/>
        </w:rPr>
        <w:t xml:space="preserve"> nástroje</w:t>
      </w:r>
      <w:r w:rsidRPr="00C03D45">
        <w:rPr>
          <w:rFonts w:ascii="Arial Narrow" w:hAnsi="Arial Narrow"/>
        </w:rPr>
        <w:t xml:space="preserve"> ako fina</w:t>
      </w:r>
      <w:r w:rsidR="002903CB" w:rsidRPr="00C03D45">
        <w:rPr>
          <w:rFonts w:ascii="Arial Narrow" w:hAnsi="Arial Narrow"/>
        </w:rPr>
        <w:t>n</w:t>
      </w:r>
      <w:r w:rsidRPr="00C03D45">
        <w:rPr>
          <w:rFonts w:ascii="Arial Narrow" w:hAnsi="Arial Narrow"/>
        </w:rPr>
        <w:t>čné limity alebo percentuáln</w:t>
      </w:r>
      <w:r w:rsidR="002903CB" w:rsidRPr="00C03D45">
        <w:rPr>
          <w:rFonts w:ascii="Arial Narrow" w:hAnsi="Arial Narrow"/>
        </w:rPr>
        <w:t>e limity je možné využiť len pri</w:t>
      </w:r>
      <w:r w:rsidRPr="00C03D45">
        <w:rPr>
          <w:rFonts w:ascii="Arial Narrow" w:hAnsi="Arial Narrow"/>
        </w:rPr>
        <w:t xml:space="preserve"> niektorých výdavkoch. Nižšie uvedená tabuľka</w:t>
      </w:r>
      <w:r w:rsidR="00DB12FC">
        <w:rPr>
          <w:rStyle w:val="Odkaznapoznmkupodiarou"/>
          <w:rFonts w:ascii="Arial Narrow" w:hAnsi="Arial Narrow"/>
        </w:rPr>
        <w:footnoteReference w:id="5"/>
      </w:r>
      <w:r w:rsidRPr="00C03D45">
        <w:rPr>
          <w:rFonts w:ascii="Arial Narrow" w:hAnsi="Arial Narrow"/>
        </w:rPr>
        <w:t xml:space="preserve"> predstavuje maticu, aké nástroje sa </w:t>
      </w:r>
      <w:r w:rsidR="005D6E6F">
        <w:rPr>
          <w:rFonts w:ascii="Arial Narrow" w:hAnsi="Arial Narrow"/>
        </w:rPr>
        <w:t xml:space="preserve">môžu </w:t>
      </w:r>
      <w:r w:rsidRPr="00C03D45">
        <w:rPr>
          <w:rFonts w:ascii="Arial Narrow" w:hAnsi="Arial Narrow"/>
        </w:rPr>
        <w:t>využíva</w:t>
      </w:r>
      <w:r w:rsidR="005D6E6F">
        <w:rPr>
          <w:rFonts w:ascii="Arial Narrow" w:hAnsi="Arial Narrow"/>
        </w:rPr>
        <w:t>ť</w:t>
      </w:r>
      <w:r w:rsidRPr="00C03D45">
        <w:rPr>
          <w:rFonts w:ascii="Arial Narrow" w:hAnsi="Arial Narrow"/>
        </w:rPr>
        <w:t xml:space="preserve"> pri jednotlivých skupinách výdavkov.</w:t>
      </w: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1276"/>
        <w:gridCol w:w="567"/>
        <w:gridCol w:w="850"/>
        <w:gridCol w:w="993"/>
        <w:gridCol w:w="425"/>
        <w:gridCol w:w="1134"/>
        <w:gridCol w:w="1417"/>
      </w:tblGrid>
      <w:tr w:rsidR="006742E7" w:rsidRPr="00C03D45" w14:paraId="45F0C942" w14:textId="77777777" w:rsidTr="00A1165F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12CF57" w14:textId="77777777" w:rsidR="006742E7" w:rsidRPr="00C03D45" w:rsidRDefault="006742E7" w:rsidP="006F23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Skupina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A8FE5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Podpoložka EKRK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1B0738" w14:textId="41437C8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Nástroje pre overenie hospodárnosti a efektívnosti</w:t>
            </w:r>
          </w:p>
        </w:tc>
      </w:tr>
      <w:tr w:rsidR="000C2C6D" w:rsidRPr="00C03D45" w14:paraId="323EB26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65C19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C19FA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1731B8" w14:textId="14AF9495" w:rsidR="006742E7" w:rsidRPr="00C03D45" w:rsidRDefault="00A1165F" w:rsidP="00BF16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ŠÚ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6DB4E83" w14:textId="20265B0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VO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65FDC4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% limity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69307E2" w14:textId="2EE3DDBD" w:rsidR="006742E7" w:rsidRPr="00C03D45" w:rsidRDefault="000C2C6D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F</w:t>
            </w:r>
            <w:r w:rsidR="006742E7"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inančné limity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58DB026" w14:textId="76BE772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7AB8802" w14:textId="03EF2E44" w:rsidR="006742E7" w:rsidRPr="00C03D45" w:rsidRDefault="000C2C6D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P</w:t>
            </w:r>
            <w:r w:rsidR="006742E7"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rieskum trhu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A8D8546" w14:textId="502CB2E9" w:rsidR="006742E7" w:rsidRPr="00C03D45" w:rsidRDefault="00BF162B" w:rsidP="00BF16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Odborný </w:t>
            </w:r>
            <w:r w:rsidR="00A1165F"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p</w:t>
            </w:r>
            <w:r w:rsidR="006742E7"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osudok</w:t>
            </w:r>
            <w:r w:rsidRPr="001370F7">
              <w:rPr>
                <w:rFonts w:ascii="Arial Narrow" w:hAnsi="Arial Narrow" w:cs="Calibri"/>
                <w:b/>
                <w:bCs/>
                <w:lang w:eastAsia="cs-CZ"/>
              </w:rPr>
              <w:t>/úkon</w:t>
            </w:r>
            <w:r w:rsidRPr="00C35471">
              <w:rPr>
                <w:rFonts w:ascii="Arial Narrow" w:hAnsi="Arial Narrow" w:cs="Calibri"/>
                <w:bCs/>
                <w:lang w:eastAsia="cs-CZ"/>
              </w:rPr>
              <w:t xml:space="preserve"> </w:t>
            </w:r>
            <w:r w:rsidR="006742E7"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 znalca</w:t>
            </w:r>
          </w:p>
        </w:tc>
      </w:tr>
      <w:tr w:rsidR="000C2C6D" w:rsidRPr="00C03D45" w14:paraId="17110486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E3F48" w14:textId="77777777" w:rsidR="0066559D" w:rsidRPr="00C03D45" w:rsidRDefault="0066559D" w:rsidP="00665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013 Softvér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E734B" w14:textId="77777777" w:rsidR="0066559D" w:rsidRPr="00C03D45" w:rsidRDefault="0066559D" w:rsidP="00665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711003 Nákup softvéru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F9B852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D2104D7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6C3B166" w14:textId="2DA22C8B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2B4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C799BA7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E48E8B2" w14:textId="09CE9D08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E13B388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4DB2B17" w14:textId="566AE378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F139D3D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74334" w14:textId="77777777" w:rsidR="0066559D" w:rsidRPr="00C03D45" w:rsidRDefault="0066559D" w:rsidP="00665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013 Softvér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9D00B" w14:textId="77777777" w:rsidR="0066559D" w:rsidRPr="00C03D45" w:rsidRDefault="0066559D" w:rsidP="00665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718006 Modernizácia Softvéru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7F3200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6AE3272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</w:tcPr>
          <w:p w14:paraId="53D21069" w14:textId="41938CAA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2B4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CCC738C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46889F1" w14:textId="5DA548D6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980CE38" w14:textId="77777777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D743B4C" w14:textId="28E81635" w:rsidR="0066559D" w:rsidRPr="00C03D45" w:rsidRDefault="0066559D" w:rsidP="00665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2A1F95E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403B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014 Oceniteľné práva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EE25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711004 Nákup licencií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8ED8D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821556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1D6D53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9BF908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3088DAD" w14:textId="6AA8A84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A300C8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05C5E7E" w14:textId="634C680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D1BE48B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84CB6" w14:textId="55545DCC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bookmarkStart w:id="10" w:name="RANGE!C8"/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014 Oceniteľné práva</w:t>
            </w:r>
            <w:bookmarkEnd w:id="10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3B97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642029 Na náhradu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7F9BF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78E5AE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B42D89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E7AFB6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0748571" w14:textId="053FFC9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1302BF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012D254" w14:textId="02CAB04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1AEC810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B5E1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021 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4AD8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712001 Nákup budov, objektov alebo ich častí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B12D5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724553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7E6023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DEEB1C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168510D" w14:textId="34D8A7A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9FA194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AA832B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</w:tr>
      <w:tr w:rsidR="000C2C6D" w:rsidRPr="00C03D45" w14:paraId="129568A6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D40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021 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BA53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712002 Nákup budov alebo objektov určených na likvidáciu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FE5AA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3E824D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BD9143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1E9FF0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D96949F" w14:textId="76A5473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4D0705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B7214D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</w:tr>
      <w:tr w:rsidR="000C2C6D" w:rsidRPr="00C03D45" w14:paraId="4ABEA9D1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702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021 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B62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717001 Realizácia nových stavieb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A3C72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11C7DA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D0D895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B5AE3B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0FE27F9" w14:textId="3DA97EF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150461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F9D908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</w:tr>
      <w:tr w:rsidR="000C2C6D" w:rsidRPr="00C03D45" w14:paraId="759449E6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58CC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021 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727B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717002 Rekonštrukcia a modernizácia stavieb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3BFE9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FA194A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4D1C42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E5F106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352BC90" w14:textId="2A77B08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8189C6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3350F2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</w:tr>
      <w:tr w:rsidR="000C2C6D" w:rsidRPr="00C03D45" w14:paraId="6F9713E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3F5D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021 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BFC1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717003 Prístavby, nadstavby, stavebné úpravy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E40D2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6D852A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3E6A15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1C8389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019427F" w14:textId="4CBB0D3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418CBB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64C138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</w:tr>
      <w:tr w:rsidR="000C2C6D" w:rsidRPr="00C03D45" w14:paraId="41C06203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2DB7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AECC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713001 Nákup interiérového vybavenia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2B5CA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F8D2C0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5DF1AC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B1419E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6A22033" w14:textId="3EF7EF3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4BA0BA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05D2E26" w14:textId="48A02BA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0DBD145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CF0D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791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713002 Nákup výpočtovej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442D4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A8B090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2E5A5B6" w14:textId="1862F066" w:rsidR="006742E7" w:rsidRPr="00C03D45" w:rsidRDefault="00B46BD3" w:rsidP="00B46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F1306F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487BAC8" w14:textId="43B875D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6154D6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A47D5A5" w14:textId="168EC6A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A206F60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7EBA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755B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713003 Nákup telekomunikačnej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740CEE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C4E153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A8F9EC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2CB88B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A6FAC7E" w14:textId="7E68AC7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939173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E3D8B94" w14:textId="10AC63D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4D3A2066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A21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F717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713004 Nákup prevádzkových strojov, prístrojov, zariadení, techniky a náradia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50D5C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D25C3D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CD7618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DC46D8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E76EE95" w14:textId="407EDB1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3AB7AF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499D981" w14:textId="5DA7CCB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33FE318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9D0A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lastRenderedPageBreak/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7851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713005 Nákup špeciálnych strojov, prístrojov, zariadení, techniky, náradia a materiálu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48BF8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5E9976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D615A8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ADBA5C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1561F1F" w14:textId="096617C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FF4991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5A2D7DB" w14:textId="2CABBC3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0E092E8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7F73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30D1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713006 Nákup komunikačnej infraštruktúry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A9C94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A9A884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56BA29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D49C35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EFE6723" w14:textId="53611C7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0C7AE9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780BD06" w14:textId="4F8D024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AD6126F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8E5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1AB6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716 Prípravná a projektová dokumentácia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EA25D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CB9F67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530A21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5C675E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A7F2B66" w14:textId="6F9E295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BB0DD7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B2D1046" w14:textId="21A5325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2A0DA5C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37B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557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718002 Modernizácia Výpočtovej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09CF9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36D4BE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306201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D0A8C5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317DA7A" w14:textId="5988385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52569E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75C1510" w14:textId="59E68FE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7DA818A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5C33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E7C2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718003 Modernizácia Telekomunikačnej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6EC5D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3A83D0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83A9F7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C049BB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3E56238" w14:textId="7D2AE45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1F5B6C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A714E6D" w14:textId="71868E2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E31E4A7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721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D7F7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718004 Modernizácia Prevádzkových strojov, prístrojov, zariadení, techniky a náradia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810C5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2C26FE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84B705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120C23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F279CA6" w14:textId="5208895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DB176C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C268E67" w14:textId="2C89D5B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8D62451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DAF6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39B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718005 Modernizácia Špeciálnych strojov, prístrojov, zariadení, techniky a náradia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B5208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1ADC41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248998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636643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FFD1B01" w14:textId="3ED820F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C01C07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A40890B" w14:textId="0475CE5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105A3FE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C0F8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022 Samostatné hnuteľné veci a súbory hnuteľných vecí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D125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718007 Modernizácia Komunikačnej infraštruktúry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25CBC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6077D4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85D69B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2ADDE1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1C90AE8" w14:textId="3679D04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8B41A9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06C97BA" w14:textId="7A38D4A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ED7939D" w14:textId="77777777" w:rsidTr="001370F7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136E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023 Dopravné prostriedky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A1B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714001 Nákup Osobných automobilov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CD139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D74937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C49AF5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1D8938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</w:tcPr>
          <w:p w14:paraId="040513D5" w14:textId="71427A0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C000"/>
            <w:vAlign w:val="center"/>
          </w:tcPr>
          <w:p w14:paraId="51D6946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B0F0"/>
            <w:vAlign w:val="center"/>
          </w:tcPr>
          <w:p w14:paraId="30079B24" w14:textId="1E5078D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C793B6E" w14:textId="77777777" w:rsidTr="001370F7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6B83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023 Dopravné prostriedky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5E91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714005 Nákup Špeciálnych automobilov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9B689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B08A89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638C87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B6EDFE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AA085DA" w14:textId="1037EA2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B3BDC8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288FDB1" w14:textId="4C1DC5A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982F07F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9B36B" w14:textId="77777777" w:rsidR="006742E7" w:rsidRPr="00C03D45" w:rsidRDefault="006742E7" w:rsidP="00680D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027 Pozemky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DC2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711001 Nákup pozemkov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12CE7433" w14:textId="2D34BDC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154C8C91" w14:textId="5B61963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4B9477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2F7107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B23DF11" w14:textId="49CDBAA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A314041" w14:textId="747DF18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E7AD67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</w:tr>
      <w:tr w:rsidR="000C2C6D" w:rsidRPr="00C03D45" w14:paraId="1D0D4782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FA6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1FE3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633001 Materiál Interiérové vybavenie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A2F09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2F5359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4169C0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26CAA2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374F52A" w14:textId="1EA8B57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8EE0EC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FBA66FA" w14:textId="4946913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A99F59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130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FD45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633002 Materiál Výpočtová technika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924E3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AD0A0A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0AFF15E" w14:textId="5DD140B9" w:rsidR="006742E7" w:rsidRPr="001370F7" w:rsidRDefault="00B46BD3" w:rsidP="00B46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8CBA70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2F1852D" w14:textId="333CBB0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68F164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A571A55" w14:textId="3BE0A8A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D403739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4D7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9C33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633003 Materiál Telekomunikačná technika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8A3437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A60EDD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390993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D52732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038C7F2" w14:textId="34B3F59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D5B6FA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7D6F9F6" w14:textId="76E0E47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85A47A7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34BE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4316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633004 Materiál Prevádzkové stroje, prístroje, zariadenie, technika a náradie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788E7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AFD643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5FA395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B75C02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F783E0A" w14:textId="2CAA725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2F0CC7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ADFD77A" w14:textId="21F05E4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C1D4034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BA47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1380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633005 Materiál Špeciálne stroje, prístroje, zariadenie, technika a náradie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0B04E3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6B5B21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37D8D2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29CAEA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2795C85" w14:textId="1D5D7CE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4DF1E4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E9959F8" w14:textId="268D326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F20B491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5052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539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633006 Materiál všeobecný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0D84D5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51C730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F768F3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261147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72C71A7" w14:textId="11D2C79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F10EBD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7353436" w14:textId="5E4004E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CD05E45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D3F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EF0B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633007 Materiál Špeciálny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C2645D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353534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EAFA24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2F0D6C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5CE6100" w14:textId="590A222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96C0EE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184557C" w14:textId="74CE4B5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9982AA1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D706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D280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633009 Materiál Knihy, časopisy, noviny , učebnice, učebné pomôcky a kompenzačné pomôcky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84693B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69E1CF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AC9F3C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0997D5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F305071" w14:textId="292D933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B8B0C8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06BFB66" w14:textId="54755E7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750CD5F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853A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2BF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633010 Materiál Pracovné odevy, obuv a pracovné pomôcky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AC92D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489784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8D8FF0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7BCC6A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1661F62" w14:textId="35B547D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5CEC06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7B71FEE" w14:textId="069178F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B1A6F55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37C2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627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633019 Materiál Komunikačná infraštruktúra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11A88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A7B248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1350E9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B7D452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8CBAC62" w14:textId="15DB6E1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8A0FEC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35ABD3C" w14:textId="1E1BE6B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48583D4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DBCC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571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634001 Palivo, mazivá, oleje, špeciálne kvapaliny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ADB7F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D76928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8E0608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2E3A47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016D7B6" w14:textId="2F6FADD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75E4A5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755E02B" w14:textId="6A6CC80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C83D9CA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F03F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112 Zásoby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77A5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634006 Pracovné odevy, obuv a pracovné pomôcky (dopravné)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4E09A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0D4B9E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BECF79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CE3FEF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37725F4" w14:textId="6A4293D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CF7D8B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B418B25" w14:textId="172EEDD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B1C3158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01E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08B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634002 Servis, údržba, opravy a výdavky s tým spojené (dopravné)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8B5149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5E4DDD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81E94C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83DBDA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7D46A03" w14:textId="7E66E3D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AF3B94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3179783" w14:textId="4C3F725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4BA69F3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DABA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EDF5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635001 Údržba Interiérového vybavenia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5BC76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CFCB0D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519622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9D74C8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66799AF" w14:textId="391164B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F7F791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8540DE9" w14:textId="6B51B1C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07AEE24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559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A1E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635002 Údržba Výpočtovej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15F42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744893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B4FA41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95611C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E17ED6E" w14:textId="381DC4F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6FC6DE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D1101B3" w14:textId="691AB91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121AA6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ECB2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526A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635003 Údržba Telekomunikačnej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F7F1E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C08686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99A6C2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433A5C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5AC07B8" w14:textId="413C3E8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3B0D81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25DBCD3" w14:textId="3F38060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557E22A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947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2E7D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635004 Údržba Prevádzkových strojov, prístrojov, zariadení, techniky a náradia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7586F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0C8B55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EE16FC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989B60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C772328" w14:textId="634C28D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18C6B4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2FB7F85" w14:textId="7BC781F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6E52A0F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3EB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F146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635005 Údržba Špeciálnych strojov, prístrojov, zariadení, techniky a náradia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6CE7B0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A536E1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DB2AC4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A876C9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61BB0D7" w14:textId="2FD1D3F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F5C0E2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997FD81" w14:textId="1FBDB90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C221C06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B666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646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635006 Údržba Budov, objektov alebo ich častí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9013C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654322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713FE9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51AE88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13B5077" w14:textId="4C6FCC2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B8ABAF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432CE53" w14:textId="77F8F8F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F86573F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9CBC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C451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635007 Údržba Pracovných odevov, obuvi a pracovných pomôcok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63B0D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283088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7EA411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0D0BFD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0919FE2" w14:textId="2574306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DAF6E8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E2F16B1" w14:textId="75712E3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E68A170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E8A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2FD3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635008 Údržba Kníh, učebných pomôcok a kompenzačných pomôcok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985FA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19A402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59B80F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9AE6B8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61BC3AB" w14:textId="1205DAA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22E308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1081709" w14:textId="05A306C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4397E4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6388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4648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635009 Rutinná a štandardná údržba softvéru7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F81205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7C2F4F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D3C5A2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F5B93B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A1F08CC" w14:textId="5A47B14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3A150C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EA5A861" w14:textId="0B69828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A6CBF34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D8ED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511 Opravy a udržiavanie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479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635200 Údržba Ostatného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4C026F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AA4045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148187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5DF34F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3C5CAF8" w14:textId="69C07D2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6086AF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BFBEAD4" w14:textId="188E4FC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E8ECA5A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FEED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512 Cestovné náhrady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0D8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631001 Tuzemské cestovné náhrady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3359FF" w14:textId="2696925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5107702" w14:textId="79796E7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3B26CC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F04F5F3" w14:textId="09291188" w:rsidR="006742E7" w:rsidRPr="00C03D45" w:rsidRDefault="00B46BD3" w:rsidP="00B46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A1C69D9" w14:textId="428FE16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F157E9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6A5B7F4" w14:textId="24C66D1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47D1DAB9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5E02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512 Cestovné náhrady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5CD0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631002 Zahraničné cestovné náhrady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B765AD" w14:textId="6B546BF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6C47968" w14:textId="20BFB82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A7289A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716F99F" w14:textId="07437BDB" w:rsidR="006742E7" w:rsidRPr="00C03D45" w:rsidRDefault="00B46BD3" w:rsidP="00B46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79B98C3" w14:textId="76098C8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74055F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A2FD381" w14:textId="6760423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E84878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0C36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4F1E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632003 Poštové služby a telekomunikačné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9005B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C37907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AAD5F3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82BDB1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3D70674" w14:textId="72D96D3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B1F545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BF2D93B" w14:textId="1A40593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2517F75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0DAE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AAFF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633013 Softvér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6DDE9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90024D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592F10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134681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7FC0ED2" w14:textId="31AA378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BD1893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08B1280" w14:textId="6A209BD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2BBD8C5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85D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371B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633018 Licencie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AF1C4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EDCA79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216E10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2C32C0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D0442FF" w14:textId="00068B1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78AE98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72CF4E5" w14:textId="161326A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7931B0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7E6C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CC7F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634004 Prepravné a nájom dopravných prostriedkov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EF411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EA1EA3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A2793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812541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DCB6A2C" w14:textId="77BFD0E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FB5016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E0316EC" w14:textId="14BF1B4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9355848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187D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B6F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636001 Nájom Budov, objektov alebo ich častí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8A37B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387601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B7DFD37" w14:textId="7538E6A9" w:rsidR="006742E7" w:rsidRPr="00C03D45" w:rsidRDefault="006742E7" w:rsidP="00F415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B67FCE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378B972" w14:textId="0286ABA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96F052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325B8F4" w14:textId="0373908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F570F75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8B4B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9ECA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636002 Nájom Prevádzkových strojov, prístrojov, zariadení, techniky a náradia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47CB0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043E27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754E2A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E87E33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BFD92F3" w14:textId="037CCF7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9FB411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6FC7D14" w14:textId="662EA2D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C8FF7C8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AEE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C4F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636003 Nájom Špeciálnych strojov, prístrojov, zariadení, techniky, náradia a materiálu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943D50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A516E4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1014F4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A4A047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EC65013" w14:textId="262AE92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8FAB27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49E00C3" w14:textId="573F738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6CAC79A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17D5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12EB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636004 Nájom Dopravných prostriedkov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FB103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AA98B4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55134A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75EC3C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AA1126F" w14:textId="3840E82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04D04F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5C44D00" w14:textId="2D15EFC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097E1D6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8272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3C71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636005 Nájom Zo zmluvy o nájme veci s právom kúpy prenajatej veci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959537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2E39FB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1743FF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3C7084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D3562F2" w14:textId="3D9CDBE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421C05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DDDC9E9" w14:textId="45ACACE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64EFE30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A1A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B9B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636006 Nájom Výpočtovej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A2DD1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607DB9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680512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3B707F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E595D98" w14:textId="0C728D3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5684CE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D5B656D" w14:textId="21A0224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7B999F7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270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AB6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636007 Nájom Softvéru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B77E7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07A575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076925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FD890E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2D14E69" w14:textId="17504A4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2BA046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5480A23" w14:textId="7E3E2DA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97A5274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438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EEDE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637001 Školenia, kurzy, semináre, porady, konferencie, sympóziá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6EA885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E7C88D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A9B15F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AA5BD5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790F37D" w14:textId="326A51C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ED9C98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414B542" w14:textId="33D0581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D343221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A362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8CD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637002 Konkurzy a súťaže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74456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996B7A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610C04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BAD8DF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413F603" w14:textId="5ACF926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CD198F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FE55D2D" w14:textId="682FD6B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0BF8D1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115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9886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637003 Propagácia, reklama a inzercia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81A1F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32E76F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895AD9B" w14:textId="4E5536E6" w:rsidR="006742E7" w:rsidRPr="00C03D45" w:rsidRDefault="00F4157C" w:rsidP="00F415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131D3A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9F22AE3" w14:textId="0E4D739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A64086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AA32B43" w14:textId="4C582F6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FCFB04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BC5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C1B9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637004 Všeobecné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2AA164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224F5F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EFCC53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227C46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E93BFEB" w14:textId="6E1FBAE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536672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320E3CA" w14:textId="52519E4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18CC210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2D5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8869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637005 Špeciálne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4FB94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C83A6A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19CD74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8FC198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7047202" w14:textId="203322A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096A385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E0C1BA2" w14:textId="64C628D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CE202C2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99B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F847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637006 Náhrady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88721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C8D19A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C1D2C1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631A98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B6C761A" w14:textId="211A238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AFBABF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40131D8" w14:textId="02D13D2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2CAF824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0BDC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CFA9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637009 Náhrada mzdy a platu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B7673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D00D2A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39E006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F82179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D178E2F" w14:textId="3023852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BB6837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3DDE5F0" w14:textId="5DB7819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E4FD5DA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294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B5C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637010 Na úlohy výskumu a vývoja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2579F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AC5330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A42764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2C004C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997B1CB" w14:textId="63F40BB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B8C91C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AC0B796" w14:textId="2473829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D048C6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BD64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9141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637011 Štúdie, expertízy, posudky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B4F1E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9B0F73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5080FB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14F64B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2E399B2" w14:textId="7E64C8E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08C354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DE4C91F" w14:textId="7B7BD95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CA09AB7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BBCC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612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637023 Kolkové známky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FCE69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22816E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702D3F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28B5C5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38BB29F" w14:textId="594D20C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1502A6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B782E9A" w14:textId="7EEFC4E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C4E7D4D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5756" w14:textId="45DE5345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bookmarkStart w:id="11" w:name="RANGE!C75"/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518 Ostatné služby</w:t>
            </w:r>
            <w:bookmarkEnd w:id="11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F7DF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642029 Na náhradu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E16DDC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340830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CEFE29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9D55BB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4DD543B" w14:textId="4F62358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9F54DA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2AFC611" w14:textId="05AD357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3DB7BC1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C80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B218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637027 Odmeny zamestnancov mimopracovného pomeru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71732F" w14:textId="60E90ED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2D5CAEB0" w14:textId="67EC1F0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7A65CE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446978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9A6EF64" w14:textId="6870561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43AA02E" w14:textId="12C409F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81FB7CF" w14:textId="38A2BF4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FBF4AC9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7892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6A37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610620 Osobné náklady (položky 610 až 629)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7A12CD" w14:textId="5691500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46302501" w14:textId="1FB8D83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0086BB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E19D30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BE132CF" w14:textId="114B997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9673C38" w14:textId="05BEF70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87DDE20" w14:textId="1C4C0C4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5193B10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5071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CEF5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610 Mzdy, platy, služobné príjmy a ostatné osobné vyrovnania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47BAF9" w14:textId="2C7FDEA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7DCA36B" w14:textId="408D84D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6762C3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E8B2CD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2354E3D" w14:textId="102EBDB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2075280" w14:textId="0A17F7D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DF4D842" w14:textId="6C32095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8BD89EB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9B8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B0F5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611 Tarifný plat, osobný plat, základný plat, funkčný plat, hodnostný plat, plat, vrátane ich náhrad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FD77EDF" w14:textId="569D87A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92B3929" w14:textId="746AEAD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A3C8F0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047845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9AA1AEB" w14:textId="44C0F32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DD7745F" w14:textId="548C290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D9859E5" w14:textId="393D1B7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173C446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0F38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A94B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612 Príplatky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D85686" w14:textId="7853D7E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17C19F1" w14:textId="438ECF2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0FBDC0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9361D6A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BED86C5" w14:textId="58ADC5F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258076A" w14:textId="200EF2A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6212ACD" w14:textId="1D9144F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5B6996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DAE6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8CB1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612001 Osobný príplatok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773D5C5" w14:textId="690E96B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1DCCB0B" w14:textId="6FB890B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E66551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6DB230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52EB227" w14:textId="1693C89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B7551BE" w14:textId="787F7C8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ECDBC1E" w14:textId="3E823CA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98822C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8ABD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F8C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612002 Ostatné príplatky okrem osobných príplatkov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35CCAC" w14:textId="255E255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BF9CF47" w14:textId="27CC584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</w:tcPr>
          <w:p w14:paraId="1991CD1B" w14:textId="6A0A47E1" w:rsidR="006742E7" w:rsidRPr="00C03D45" w:rsidRDefault="006742E7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976576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AD14BD1" w14:textId="65642A9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A56612D" w14:textId="4DD8558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EDAC36E" w14:textId="4EC2813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421E9BF" w14:textId="77777777" w:rsidTr="000C2C6D">
        <w:trPr>
          <w:trHeight w:val="58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577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AA57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613 Náhrada za pracovnú pohotovosť, služobnú pohotovosť a náhrada, odmena za pohotovosť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DB4870" w14:textId="16E3710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276A19F" w14:textId="2E73B17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</w:tcPr>
          <w:p w14:paraId="1C22F554" w14:textId="12834073" w:rsidR="006742E7" w:rsidRPr="00C03D45" w:rsidRDefault="006742E7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42A639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B9318BE" w14:textId="276B3A1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528E181" w14:textId="7F55EED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C5FD959" w14:textId="579FFF0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E653214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129F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B47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615 Ostatné osobné vyrovnania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0B0B3F" w14:textId="3007DA1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1BB5292" w14:textId="38461AF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</w:tcPr>
          <w:p w14:paraId="0A5B66FC" w14:textId="504C3B2A" w:rsidR="006742E7" w:rsidRPr="00C03D45" w:rsidRDefault="006742E7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F8A910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ABAB773" w14:textId="7486410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81CA046" w14:textId="1EB87CE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2D3D940B" w14:textId="5D7AE4E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9987AF5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F91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C5D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616 Doplatok k platu a ďalší plat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E27EB9" w14:textId="4EABF63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22467F6" w14:textId="361076D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9B4F94C" w14:textId="1786ADBA" w:rsidR="006742E7" w:rsidRPr="00C03D45" w:rsidRDefault="006742E7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ECCA38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E5C3FEC" w14:textId="30ABE30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340D377F" w14:textId="269D939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A16D93A" w14:textId="4D327ED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6145690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1F0A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9325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620 Poistné a príspevok do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0BD3C5A" w14:textId="253876B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6C10F21" w14:textId="022E187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76E34F0" w14:textId="0107F7B0" w:rsidR="006742E7" w:rsidRPr="001370F7" w:rsidRDefault="00315806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9F1ADC2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1CCBAFA" w14:textId="3D6CDDC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62DD911" w14:textId="063425F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7ED4FA0" w14:textId="1485DC2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709977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996F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0AA7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621 Poistné do Všeobecnej zdravotnej poisťovne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D07736F" w14:textId="6E5B135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1E466FA" w14:textId="3700D3C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24F7630" w14:textId="0E83E7FE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D75E27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0937CA6" w14:textId="35C972E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5219F68" w14:textId="19A0E58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5ED2DFB" w14:textId="0C49DA3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BEA303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4097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D0436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623 Poistné do ostatných zdravotných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C75280" w14:textId="08444E3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7B4CBE5" w14:textId="3F79413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DFEF067" w14:textId="7567B2DE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8595B96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FECAEFE" w14:textId="29C88FE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6021997" w14:textId="4C91FE0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499CB575" w14:textId="0E45B3D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295F908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9226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6A2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 Poistné do Sociálnej poisťovne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2A8F32" w14:textId="2310080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9C45C02" w14:textId="3911E49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D0AB9AE" w14:textId="2645E650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F8212D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D01EA47" w14:textId="7E7B571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D8574B1" w14:textId="17CB1CC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3DA8E67" w14:textId="5CC8C5D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080CB34B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8C2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DC1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625001 Na nemocenské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77EDA5" w14:textId="1D5B148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AE48883" w14:textId="4A2FAB8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C5604EC" w14:textId="62A141AF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B07AAF8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7FF7B52" w14:textId="21D4392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F2AABAA" w14:textId="661C982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3087F69" w14:textId="65A06DB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46A52BE0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F70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670B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625002 Na starobné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FDE91D" w14:textId="569E17A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6E4C864" w14:textId="09FEBD3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1E86969" w14:textId="5F61C05F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C20CD1E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2278246" w14:textId="0CAD7C0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50BD9398" w14:textId="7206B68F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3D3FD32" w14:textId="767C40A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71C02806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0F98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0AE7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625003 Na úrazové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F2EF70" w14:textId="17CA442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5D88975" w14:textId="45A475A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F1E2B50" w14:textId="441DE8A2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37085C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CD55B11" w14:textId="5141CB4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0136C1A" w14:textId="06967F5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5426DB84" w14:textId="64202D3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FE6B96A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C5C8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7562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625004 Na invalidné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7FFFC9" w14:textId="4172BF2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F84AD05" w14:textId="6A1C8C9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FEE720E" w14:textId="4A726CD0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99A69BD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57E3742" w14:textId="644A70F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61AC6E8" w14:textId="569FFBF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C4D6349" w14:textId="16DDAEF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652AE18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405C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F71B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625005 Na poistenie v nezamestnanosti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F9ACE7" w14:textId="518D384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E6B01B1" w14:textId="31B3F44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A2CD317" w14:textId="22C538DD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4AB19DB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7D4D8B7" w14:textId="5FADFE8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7B8AB433" w14:textId="5291A73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133012EC" w14:textId="310AABF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92A5A00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D97B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184B8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625006 Na garančné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AD66C1" w14:textId="017395D9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4E4BC0C5" w14:textId="4A48500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B2F2A6B" w14:textId="03232CD6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B7B3771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62C2670" w14:textId="53328D6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6CB75EC" w14:textId="38C7DDB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677B367" w14:textId="5567BFE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21C785AF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B74D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E107C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625007 Na poistenie do rezervného fondu solidarity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DB1740" w14:textId="083AA53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6917C08D" w14:textId="4CE0F8B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F42C254" w14:textId="777BCA35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F25F9F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2B9C695" w14:textId="6DB22DC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C0411A1" w14:textId="66908F7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3251C9C" w14:textId="6792954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0FF3711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4B75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D33F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628 Poistné na osobitné účty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23E896" w14:textId="7D751C4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0D9E8E06" w14:textId="10C9DF8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6BB3341" w14:textId="6309437F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6AA0B7F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AD7739D" w14:textId="2B91FA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67B3091" w14:textId="52DBA81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F02FF0B" w14:textId="1A4283B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904B50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05A92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F7340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628001 Na nemocenské zabezpečenie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851A6B" w14:textId="04C2FCB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1E534F3E" w14:textId="4764A82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D13C53A" w14:textId="756F53CC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A823BC0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754476D" w14:textId="7B94C80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744D546" w14:textId="4FCD0DA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6B6AC82" w14:textId="15CB5E5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12065B0B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23B37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68D1D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628002 Na výsluhový dôchodok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206D19" w14:textId="35EDD08B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11063093" w14:textId="7F66482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5823EBC" w14:textId="4AEEB231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0AD892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0A9DFBA" w14:textId="11EAC9F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FF8C83F" w14:textId="089133C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6270562" w14:textId="77532C2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6B3A2D1C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F71B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94BB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628003 Na úrazové zabezpečenie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7AC96F" w14:textId="4CD18DB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98E56E8" w14:textId="1E366C2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4A8C2DF" w14:textId="4236F005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948AE83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3892BE1" w14:textId="28DF5F9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4064F9BB" w14:textId="457B5186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7CCD4E1A" w14:textId="1C622A40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62B6A46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17A24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915E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628004 Na invalidný výsluhový dôchodok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309844" w14:textId="7CFB944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5C4E4FBA" w14:textId="5A74E02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3558968" w14:textId="50A2D113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38537C4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672A020" w14:textId="50C923F2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1675A33A" w14:textId="26F3566D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3A039301" w14:textId="4F74CF9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32E6F014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8E243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CEE39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628005 Na výsluhový príspevok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BBB7EE" w14:textId="4F4C6AB5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408BFA48" w14:textId="41A68AF4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50D674F" w14:textId="113B96E7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E4122A7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25F59EA" w14:textId="2D2D8D6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0F09386F" w14:textId="604757C8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6FC6A64E" w14:textId="47959ACE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0C2C6D" w:rsidRPr="00C03D45" w14:paraId="53295F13" w14:textId="77777777" w:rsidTr="000C2C6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4FEEA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521 - Mzdové výdavky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43411" w14:textId="77777777" w:rsidR="006742E7" w:rsidRPr="00C03D45" w:rsidRDefault="006742E7" w:rsidP="00680D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629 Príspevok na starobné dôchodkové sporenie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4E60F1" w14:textId="51609F23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2CE9E58E" w14:textId="02C5D47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418308F" w14:textId="3618DCF5" w:rsidR="006742E7" w:rsidRPr="001370F7" w:rsidRDefault="0028106B" w:rsidP="00315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1370F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F0BABB9" w14:textId="77777777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C03D4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4256414" w14:textId="7A73948A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697D31E6" w14:textId="2BFF78BC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14:paraId="02F02E35" w14:textId="3F1679C1" w:rsidR="006742E7" w:rsidRPr="00C03D45" w:rsidRDefault="006742E7" w:rsidP="00680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</w:tbl>
    <w:p w14:paraId="7531421B" w14:textId="58B3BF64" w:rsidR="00DB5D43" w:rsidRDefault="00DB5D43" w:rsidP="00DB5D43">
      <w:pPr>
        <w:rPr>
          <w:rFonts w:ascii="Arial Narrow" w:hAnsi="Arial Narrow"/>
          <w:b/>
          <w:sz w:val="28"/>
          <w:szCs w:val="28"/>
        </w:rPr>
      </w:pPr>
    </w:p>
    <w:p w14:paraId="02C2392C" w14:textId="2E1302E9" w:rsidR="00337282" w:rsidRDefault="00337282" w:rsidP="00DB5D43">
      <w:pPr>
        <w:rPr>
          <w:rFonts w:ascii="Arial Narrow" w:hAnsi="Arial Narrow"/>
          <w:b/>
          <w:sz w:val="28"/>
          <w:szCs w:val="28"/>
        </w:rPr>
      </w:pPr>
    </w:p>
    <w:p w14:paraId="2A63695B" w14:textId="777A0DBA" w:rsidR="009C1B3E" w:rsidRDefault="009C1B3E" w:rsidP="00DB5D43">
      <w:pPr>
        <w:rPr>
          <w:rFonts w:ascii="Arial Narrow" w:hAnsi="Arial Narrow"/>
          <w:b/>
          <w:sz w:val="28"/>
          <w:szCs w:val="28"/>
        </w:rPr>
      </w:pPr>
    </w:p>
    <w:p w14:paraId="206D916F" w14:textId="77777777" w:rsidR="009C1B3E" w:rsidRDefault="009C1B3E" w:rsidP="00DB5D43">
      <w:pPr>
        <w:rPr>
          <w:rFonts w:ascii="Arial Narrow" w:hAnsi="Arial Narrow"/>
          <w:b/>
          <w:sz w:val="28"/>
          <w:szCs w:val="28"/>
        </w:rPr>
      </w:pPr>
      <w:bookmarkStart w:id="12" w:name="_GoBack"/>
      <w:bookmarkEnd w:id="12"/>
    </w:p>
    <w:p w14:paraId="13BBBD76" w14:textId="25CA5558" w:rsidR="00071A0C" w:rsidRPr="00C03D45" w:rsidRDefault="00071A0C" w:rsidP="007C10AC">
      <w:pPr>
        <w:pStyle w:val="Ob1"/>
        <w:numPr>
          <w:ilvl w:val="0"/>
          <w:numId w:val="37"/>
        </w:numPr>
        <w:ind w:left="426" w:hanging="426"/>
      </w:pPr>
      <w:bookmarkStart w:id="13" w:name="_Toc48031511"/>
      <w:r w:rsidRPr="00C03D45">
        <w:t>Spôsob využitia konkrétneho nástroja</w:t>
      </w:r>
      <w:r w:rsidR="007148E9" w:rsidRPr="00C03D45">
        <w:t xml:space="preserve"> a zdôvodnenie jeho aplikovania</w:t>
      </w:r>
      <w:bookmarkEnd w:id="13"/>
    </w:p>
    <w:p w14:paraId="24602605" w14:textId="14A7D1B2" w:rsidR="00B2002B" w:rsidRPr="00C03D45" w:rsidRDefault="007C10AC" w:rsidP="007C10AC">
      <w:pPr>
        <w:pStyle w:val="Ob3"/>
      </w:pPr>
      <w:bookmarkStart w:id="14" w:name="_Toc48031512"/>
      <w:r w:rsidRPr="00C03D45">
        <w:t>3</w:t>
      </w:r>
      <w:r w:rsidR="00F01F4B" w:rsidRPr="00C03D45">
        <w:t xml:space="preserve">.1 </w:t>
      </w:r>
      <w:r w:rsidRPr="00C03D45">
        <w:tab/>
      </w:r>
      <w:r w:rsidR="00F01F4B" w:rsidRPr="00C03D45">
        <w:t>Štúdia uskutočniteľnosti</w:t>
      </w:r>
      <w:bookmarkEnd w:id="14"/>
      <w:r w:rsidR="00F01F4B" w:rsidRPr="00C03D45">
        <w:t xml:space="preserve"> </w:t>
      </w:r>
    </w:p>
    <w:p w14:paraId="4D686570" w14:textId="4AD12F7A" w:rsidR="00C34265" w:rsidRPr="00C03D45" w:rsidRDefault="00C34265" w:rsidP="00EC51CE">
      <w:pPr>
        <w:jc w:val="both"/>
        <w:rPr>
          <w:rFonts w:ascii="Arial Narrow" w:eastAsia="Times New Roman" w:hAnsi="Arial Narrow" w:cs="Times New Roman"/>
          <w:lang w:eastAsia="sk-SK"/>
        </w:rPr>
      </w:pPr>
      <w:r w:rsidRPr="00C03D45">
        <w:rPr>
          <w:rFonts w:ascii="Arial Narrow" w:eastAsia="Times New Roman" w:hAnsi="Arial Narrow" w:cs="Times New Roman"/>
          <w:lang w:eastAsia="sk-SK"/>
        </w:rPr>
        <w:t xml:space="preserve">Štúdia uskutočniteľnosti predstavuje </w:t>
      </w:r>
      <w:r w:rsidR="0041048A" w:rsidRPr="00C03D45">
        <w:rPr>
          <w:rFonts w:ascii="Arial Narrow" w:eastAsia="Times New Roman" w:hAnsi="Arial Narrow" w:cs="Times New Roman"/>
          <w:lang w:eastAsia="sk-SK"/>
        </w:rPr>
        <w:t>pomocný</w:t>
      </w:r>
      <w:r w:rsidR="0045512A" w:rsidRPr="00C03D45">
        <w:rPr>
          <w:rFonts w:ascii="Arial Narrow" w:eastAsia="Times New Roman" w:hAnsi="Arial Narrow" w:cs="Times New Roman"/>
          <w:lang w:eastAsia="sk-SK"/>
        </w:rPr>
        <w:t xml:space="preserve"> nástroj pre posúdenie vhodnosti, efe</w:t>
      </w:r>
      <w:r w:rsidRPr="00C03D45">
        <w:rPr>
          <w:rFonts w:ascii="Arial Narrow" w:eastAsia="Times New Roman" w:hAnsi="Arial Narrow" w:cs="Times New Roman"/>
          <w:lang w:eastAsia="sk-SK"/>
        </w:rPr>
        <w:t>k</w:t>
      </w:r>
      <w:r w:rsidR="0045512A" w:rsidRPr="00C03D45">
        <w:rPr>
          <w:rFonts w:ascii="Arial Narrow" w:eastAsia="Times New Roman" w:hAnsi="Arial Narrow" w:cs="Times New Roman"/>
          <w:lang w:eastAsia="sk-SK"/>
        </w:rPr>
        <w:t>t</w:t>
      </w:r>
      <w:r w:rsidRPr="00C03D45">
        <w:rPr>
          <w:rFonts w:ascii="Arial Narrow" w:eastAsia="Times New Roman" w:hAnsi="Arial Narrow" w:cs="Times New Roman"/>
          <w:lang w:eastAsia="sk-SK"/>
        </w:rPr>
        <w:t>ívnosti a udržateľnosti navrhovaného IT projektu. Štúdia uskutočniteľnosti sa vypracováva v úvodnej fáze implementácie projektu, pred jeho s</w:t>
      </w:r>
      <w:r w:rsidR="0045512A" w:rsidRPr="00C03D45">
        <w:rPr>
          <w:rFonts w:ascii="Arial Narrow" w:eastAsia="Times New Roman" w:hAnsi="Arial Narrow" w:cs="Times New Roman"/>
          <w:lang w:eastAsia="sk-SK"/>
        </w:rPr>
        <w:t xml:space="preserve">chválením. Štúdia identifikuje a objektívne posudzuje ciele projektu, východiskový stav, budúci stav a </w:t>
      </w:r>
      <w:r w:rsidRPr="00C03D45">
        <w:rPr>
          <w:rFonts w:ascii="Arial Narrow" w:eastAsia="Times New Roman" w:hAnsi="Arial Narrow" w:cs="Times New Roman"/>
          <w:lang w:eastAsia="sk-SK"/>
        </w:rPr>
        <w:t>očakávan</w:t>
      </w:r>
      <w:r w:rsidR="0045512A" w:rsidRPr="00C03D45">
        <w:rPr>
          <w:rFonts w:ascii="Arial Narrow" w:eastAsia="Times New Roman" w:hAnsi="Arial Narrow" w:cs="Times New Roman"/>
          <w:lang w:eastAsia="sk-SK"/>
        </w:rPr>
        <w:t>é prínosy</w:t>
      </w:r>
      <w:r w:rsidRPr="00C03D45">
        <w:rPr>
          <w:rFonts w:ascii="Arial Narrow" w:eastAsia="Times New Roman" w:hAnsi="Arial Narrow" w:cs="Times New Roman"/>
          <w:lang w:eastAsia="sk-SK"/>
        </w:rPr>
        <w:t xml:space="preserve"> projektu, </w:t>
      </w:r>
      <w:r w:rsidR="0045512A" w:rsidRPr="00C03D45">
        <w:rPr>
          <w:rFonts w:ascii="Arial Narrow" w:eastAsia="Times New Roman" w:hAnsi="Arial Narrow" w:cs="Times New Roman"/>
          <w:lang w:eastAsia="sk-SK"/>
        </w:rPr>
        <w:t>ako aj posudzované alternatívy riešenia. Š</w:t>
      </w:r>
      <w:r w:rsidRPr="00C03D45">
        <w:rPr>
          <w:rFonts w:ascii="Arial Narrow" w:eastAsia="Times New Roman" w:hAnsi="Arial Narrow" w:cs="Times New Roman"/>
          <w:lang w:eastAsia="sk-SK"/>
        </w:rPr>
        <w:t xml:space="preserve">túdia </w:t>
      </w:r>
      <w:r w:rsidR="0045512A" w:rsidRPr="00C03D45">
        <w:rPr>
          <w:rFonts w:ascii="Arial Narrow" w:eastAsia="Times New Roman" w:hAnsi="Arial Narrow" w:cs="Times New Roman"/>
          <w:lang w:eastAsia="sk-SK"/>
        </w:rPr>
        <w:t>tiež</w:t>
      </w:r>
      <w:r w:rsidRPr="00C03D45">
        <w:rPr>
          <w:rFonts w:ascii="Arial Narrow" w:eastAsia="Times New Roman" w:hAnsi="Arial Narrow" w:cs="Times New Roman"/>
          <w:lang w:eastAsia="sk-SK"/>
        </w:rPr>
        <w:t xml:space="preserve"> zahŕňa identifikáciu a analýzu rizík spojených s projektom. </w:t>
      </w:r>
      <w:r w:rsidR="0045512A" w:rsidRPr="00C03D45">
        <w:rPr>
          <w:rFonts w:ascii="Arial Narrow" w:eastAsia="Times New Roman" w:hAnsi="Arial Narrow" w:cs="Times New Roman"/>
          <w:lang w:eastAsia="sk-SK"/>
        </w:rPr>
        <w:t xml:space="preserve">Na základe týchto informácií je následne realizovaný odhad nákladov pre realizáciu projektu, vrátane prípravy finančnej analýzy projektu. Účelom finančnej analýzy, resp. cost-benefit analýzy </w:t>
      </w:r>
      <w:r w:rsidR="00C25C12" w:rsidRPr="00C03D45">
        <w:rPr>
          <w:rFonts w:ascii="Arial Narrow" w:eastAsia="Times New Roman" w:hAnsi="Arial Narrow" w:cs="Times New Roman"/>
          <w:lang w:eastAsia="sk-SK"/>
        </w:rPr>
        <w:t>(</w:t>
      </w:r>
      <w:r w:rsidR="007C4445" w:rsidRPr="00C03D45">
        <w:rPr>
          <w:rFonts w:ascii="Arial Narrow" w:eastAsia="Times New Roman" w:hAnsi="Arial Narrow" w:cs="Times New Roman"/>
          <w:lang w:eastAsia="sk-SK"/>
        </w:rPr>
        <w:t>ďalej len „</w:t>
      </w:r>
      <w:r w:rsidR="00C25C12" w:rsidRPr="00C03D45">
        <w:rPr>
          <w:rFonts w:ascii="Arial Narrow" w:eastAsia="Times New Roman" w:hAnsi="Arial Narrow" w:cs="Times New Roman"/>
          <w:lang w:eastAsia="sk-SK"/>
        </w:rPr>
        <w:t>CBA</w:t>
      </w:r>
      <w:r w:rsidR="007C4445" w:rsidRPr="00C03D45">
        <w:rPr>
          <w:rFonts w:ascii="Arial Narrow" w:eastAsia="Times New Roman" w:hAnsi="Arial Narrow" w:cs="Times New Roman"/>
          <w:lang w:eastAsia="sk-SK"/>
        </w:rPr>
        <w:t>“</w:t>
      </w:r>
      <w:r w:rsidR="00C25C12" w:rsidRPr="00C03D45">
        <w:rPr>
          <w:rFonts w:ascii="Arial Narrow" w:eastAsia="Times New Roman" w:hAnsi="Arial Narrow" w:cs="Times New Roman"/>
          <w:lang w:eastAsia="sk-SK"/>
        </w:rPr>
        <w:t xml:space="preserve">) </w:t>
      </w:r>
      <w:r w:rsidR="0045512A" w:rsidRPr="00C03D45">
        <w:rPr>
          <w:rFonts w:ascii="Arial Narrow" w:eastAsia="Times New Roman" w:hAnsi="Arial Narrow" w:cs="Times New Roman"/>
          <w:lang w:eastAsia="sk-SK"/>
        </w:rPr>
        <w:t>je odôvodnenie nutnosti nenávratného finančného príspevku pre realizáciu projektu a ubezpečenie poskytovateľa, že projekt po ukončení financovania z nenávratného finančného príspevku bude finančne udržateľný a samonosný. Na tomto základe by mala byť stanovená primeraná úroveň pomoci. Účelom CBA je preukázať, že projekt je z hospodárskeho hľadiska vhodný a prispieva k cieľom regionálnej politiky EÚ a SR na základe porovnania speňažených ale aj nespeňažených hmotných a nehmotných príspevkov a nákladov.</w:t>
      </w:r>
      <w:r w:rsidR="00EC51CE" w:rsidRPr="00C03D45">
        <w:rPr>
          <w:rFonts w:ascii="Arial Narrow" w:eastAsia="Times New Roman" w:hAnsi="Arial Narrow" w:cs="Times New Roman"/>
          <w:lang w:eastAsia="sk-SK"/>
        </w:rPr>
        <w:t xml:space="preserve"> Z hľadiska </w:t>
      </w:r>
      <w:r w:rsidR="00022B91" w:rsidRPr="00C03D45">
        <w:rPr>
          <w:rFonts w:ascii="Arial Narrow" w:eastAsia="Times New Roman" w:hAnsi="Arial Narrow" w:cs="Times New Roman"/>
          <w:lang w:eastAsia="sk-SK"/>
        </w:rPr>
        <w:t>hospodárn</w:t>
      </w:r>
      <w:r w:rsidR="00EC51CE" w:rsidRPr="00C03D45">
        <w:rPr>
          <w:rFonts w:ascii="Arial Narrow" w:eastAsia="Times New Roman" w:hAnsi="Arial Narrow" w:cs="Times New Roman"/>
          <w:lang w:eastAsia="sk-SK"/>
        </w:rPr>
        <w:t>o</w:t>
      </w:r>
      <w:r w:rsidR="00022B91" w:rsidRPr="00C03D45">
        <w:rPr>
          <w:rFonts w:ascii="Arial Narrow" w:eastAsia="Times New Roman" w:hAnsi="Arial Narrow" w:cs="Times New Roman"/>
          <w:lang w:eastAsia="sk-SK"/>
        </w:rPr>
        <w:t>s</w:t>
      </w:r>
      <w:r w:rsidR="00EC51CE" w:rsidRPr="00C03D45">
        <w:rPr>
          <w:rFonts w:ascii="Arial Narrow" w:eastAsia="Times New Roman" w:hAnsi="Arial Narrow" w:cs="Times New Roman"/>
          <w:lang w:eastAsia="sk-SK"/>
        </w:rPr>
        <w:t>ti a efektívnosti štúdia uskutočniteľnosti definuje</w:t>
      </w:r>
      <w:r w:rsidR="00097964" w:rsidRPr="00C03D45">
        <w:rPr>
          <w:rFonts w:ascii="Arial Narrow" w:eastAsia="Times New Roman" w:hAnsi="Arial Narrow" w:cs="Times New Roman"/>
          <w:lang w:eastAsia="sk-SK"/>
        </w:rPr>
        <w:t>,</w:t>
      </w:r>
      <w:r w:rsidR="00EC51CE" w:rsidRPr="00C03D45">
        <w:rPr>
          <w:rFonts w:ascii="Arial Narrow" w:eastAsia="Times New Roman" w:hAnsi="Arial Narrow" w:cs="Times New Roman"/>
          <w:lang w:eastAsia="sk-SK"/>
        </w:rPr>
        <w:t xml:space="preserve"> </w:t>
      </w:r>
      <w:r w:rsidRPr="00C03D45">
        <w:rPr>
          <w:rFonts w:ascii="Arial Narrow" w:eastAsia="Times New Roman" w:hAnsi="Arial Narrow" w:cs="Times New Roman"/>
          <w:lang w:eastAsia="sk-SK"/>
        </w:rPr>
        <w:t xml:space="preserve">či očakávané prínosy </w:t>
      </w:r>
      <w:r w:rsidR="00A05EBC" w:rsidRPr="00C03D45">
        <w:rPr>
          <w:rFonts w:ascii="Arial Narrow" w:eastAsia="Times New Roman" w:hAnsi="Arial Narrow" w:cs="Times New Roman"/>
          <w:lang w:eastAsia="sk-SK"/>
        </w:rPr>
        <w:t xml:space="preserve">projektu zodpovedajú </w:t>
      </w:r>
      <w:r w:rsidRPr="00C03D45">
        <w:rPr>
          <w:rFonts w:ascii="Arial Narrow" w:eastAsia="Times New Roman" w:hAnsi="Arial Narrow" w:cs="Times New Roman"/>
          <w:lang w:eastAsia="sk-SK"/>
        </w:rPr>
        <w:t>potrebným</w:t>
      </w:r>
      <w:r w:rsidR="00A05EBC" w:rsidRPr="00C03D45">
        <w:rPr>
          <w:rFonts w:ascii="Arial Narrow" w:eastAsia="Times New Roman" w:hAnsi="Arial Narrow" w:cs="Times New Roman"/>
          <w:lang w:eastAsia="sk-SK"/>
        </w:rPr>
        <w:t xml:space="preserve"> investíciám. </w:t>
      </w:r>
    </w:p>
    <w:p w14:paraId="3366F694" w14:textId="53FB081F" w:rsidR="00391F61" w:rsidRDefault="00A05EBC" w:rsidP="00A05EB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C03D45">
        <w:rPr>
          <w:rFonts w:ascii="Arial Narrow" w:eastAsia="Times New Roman" w:hAnsi="Arial Narrow" w:cs="Times New Roman"/>
          <w:lang w:eastAsia="sk-SK"/>
        </w:rPr>
        <w:t>Štúdia uskutočniteľnosti</w:t>
      </w:r>
      <w:r w:rsidR="0078159F">
        <w:rPr>
          <w:rFonts w:ascii="Arial Narrow" w:eastAsia="Times New Roman" w:hAnsi="Arial Narrow" w:cs="Times New Roman"/>
          <w:lang w:eastAsia="sk-SK"/>
        </w:rPr>
        <w:t xml:space="preserve"> </w:t>
      </w:r>
      <w:r w:rsidRPr="00C03D45">
        <w:rPr>
          <w:rFonts w:ascii="Arial Narrow" w:eastAsia="Times New Roman" w:hAnsi="Arial Narrow" w:cs="Times New Roman"/>
          <w:lang w:eastAsia="sk-SK"/>
        </w:rPr>
        <w:t>je</w:t>
      </w:r>
      <w:r w:rsidR="00391F61">
        <w:rPr>
          <w:rFonts w:ascii="Arial Narrow" w:eastAsia="Times New Roman" w:hAnsi="Arial Narrow" w:cs="Times New Roman"/>
          <w:lang w:eastAsia="sk-SK"/>
        </w:rPr>
        <w:t xml:space="preserve"> v prípade národných projektov</w:t>
      </w:r>
      <w:r w:rsidRPr="00C03D45">
        <w:rPr>
          <w:rFonts w:ascii="Arial Narrow" w:eastAsia="Times New Roman" w:hAnsi="Arial Narrow" w:cs="Times New Roman"/>
          <w:lang w:eastAsia="sk-SK"/>
        </w:rPr>
        <w:t xml:space="preserve"> posudzovaná a schvaľovaná členmi Riadiaceho výboru </w:t>
      </w:r>
      <w:r w:rsidR="009A0BA5" w:rsidRPr="00C03D45">
        <w:rPr>
          <w:rFonts w:ascii="Arial Narrow" w:eastAsia="Times New Roman" w:hAnsi="Arial Narrow" w:cs="Times New Roman"/>
          <w:lang w:eastAsia="sk-SK"/>
        </w:rPr>
        <w:t>p</w:t>
      </w:r>
      <w:r w:rsidR="00022B91" w:rsidRPr="00C03D45">
        <w:rPr>
          <w:rFonts w:ascii="Arial Narrow" w:eastAsia="Times New Roman" w:hAnsi="Arial Narrow" w:cs="Times New Roman"/>
          <w:lang w:eastAsia="sk-SK"/>
        </w:rPr>
        <w:t>rioritn</w:t>
      </w:r>
      <w:r w:rsidR="00A46AAD" w:rsidRPr="00C03D45">
        <w:rPr>
          <w:rFonts w:ascii="Arial Narrow" w:eastAsia="Times New Roman" w:hAnsi="Arial Narrow" w:cs="Times New Roman"/>
          <w:lang w:eastAsia="sk-SK"/>
        </w:rPr>
        <w:t>ej</w:t>
      </w:r>
      <w:r w:rsidR="00022B91" w:rsidRPr="00C03D45">
        <w:rPr>
          <w:rFonts w:ascii="Arial Narrow" w:eastAsia="Times New Roman" w:hAnsi="Arial Narrow" w:cs="Times New Roman"/>
          <w:lang w:eastAsia="sk-SK"/>
        </w:rPr>
        <w:t xml:space="preserve"> os</w:t>
      </w:r>
      <w:r w:rsidR="009A0BA5" w:rsidRPr="00C03D45">
        <w:rPr>
          <w:rFonts w:ascii="Arial Narrow" w:eastAsia="Times New Roman" w:hAnsi="Arial Narrow" w:cs="Times New Roman"/>
          <w:lang w:eastAsia="sk-SK"/>
        </w:rPr>
        <w:t>i</w:t>
      </w:r>
      <w:r w:rsidR="00022B91" w:rsidRPr="00C03D45">
        <w:rPr>
          <w:rFonts w:ascii="Arial Narrow" w:eastAsia="Times New Roman" w:hAnsi="Arial Narrow" w:cs="Times New Roman"/>
          <w:lang w:eastAsia="sk-SK"/>
        </w:rPr>
        <w:t xml:space="preserve"> 7 O</w:t>
      </w:r>
      <w:r w:rsidR="00A46AAD" w:rsidRPr="00C03D45">
        <w:rPr>
          <w:rFonts w:ascii="Arial Narrow" w:eastAsia="Times New Roman" w:hAnsi="Arial Narrow" w:cs="Times New Roman"/>
          <w:lang w:eastAsia="sk-SK"/>
        </w:rPr>
        <w:t>peračného programu Integrovaná infraštruktúra</w:t>
      </w:r>
      <w:r w:rsidR="00022B91" w:rsidRPr="00C03D45">
        <w:rPr>
          <w:rFonts w:ascii="Arial Narrow" w:eastAsia="Times New Roman" w:hAnsi="Arial Narrow" w:cs="Times New Roman"/>
          <w:lang w:eastAsia="sk-SK"/>
        </w:rPr>
        <w:t xml:space="preserve"> </w:t>
      </w:r>
      <w:r w:rsidR="00A46AAD" w:rsidRPr="00C03D45">
        <w:rPr>
          <w:rFonts w:ascii="Arial Narrow" w:eastAsia="Times New Roman" w:hAnsi="Arial Narrow" w:cs="Times New Roman"/>
          <w:lang w:eastAsia="sk-SK"/>
        </w:rPr>
        <w:t>(ďalej len „Riadiaci výbor PO7 OPII“)</w:t>
      </w:r>
      <w:r w:rsidR="00022B91" w:rsidRPr="00C03D45">
        <w:rPr>
          <w:rFonts w:ascii="Arial Narrow" w:eastAsia="Times New Roman" w:hAnsi="Arial Narrow" w:cs="Times New Roman"/>
          <w:lang w:eastAsia="sk-SK"/>
        </w:rPr>
        <w:t>, ktorý t</w:t>
      </w:r>
      <w:r w:rsidRPr="00C03D45">
        <w:rPr>
          <w:rFonts w:ascii="Arial Narrow" w:eastAsia="Times New Roman" w:hAnsi="Arial Narrow" w:cs="Times New Roman"/>
          <w:lang w:eastAsia="sk-SK"/>
        </w:rPr>
        <w:t>v</w:t>
      </w:r>
      <w:r w:rsidR="00022B91" w:rsidRPr="00C03D45">
        <w:rPr>
          <w:rFonts w:ascii="Arial Narrow" w:eastAsia="Times New Roman" w:hAnsi="Arial Narrow" w:cs="Times New Roman"/>
          <w:lang w:eastAsia="sk-SK"/>
        </w:rPr>
        <w:t>o</w:t>
      </w:r>
      <w:r w:rsidRPr="00C03D45">
        <w:rPr>
          <w:rFonts w:ascii="Arial Narrow" w:eastAsia="Times New Roman" w:hAnsi="Arial Narrow" w:cs="Times New Roman"/>
          <w:lang w:eastAsia="sk-SK"/>
        </w:rPr>
        <w:t xml:space="preserve">ria zástupcovia štátnej správy, samosprávy a mimovládnych organizácií. </w:t>
      </w:r>
      <w:r w:rsidR="00391F61">
        <w:rPr>
          <w:rFonts w:ascii="Arial Narrow" w:eastAsia="Times New Roman" w:hAnsi="Arial Narrow" w:cs="Times New Roman"/>
          <w:lang w:eastAsia="sk-SK"/>
        </w:rPr>
        <w:t xml:space="preserve">V prípade národných projektov </w:t>
      </w:r>
      <w:r w:rsidR="00022B91" w:rsidRPr="00C03D45">
        <w:rPr>
          <w:rFonts w:ascii="Arial Narrow" w:eastAsia="Times New Roman" w:hAnsi="Arial Narrow" w:cs="Times New Roman"/>
          <w:lang w:eastAsia="sk-SK"/>
        </w:rPr>
        <w:t xml:space="preserve">predstavuje </w:t>
      </w:r>
      <w:r w:rsidR="00391F61">
        <w:rPr>
          <w:rFonts w:ascii="Arial Narrow" w:eastAsia="Times New Roman" w:hAnsi="Arial Narrow" w:cs="Times New Roman"/>
          <w:lang w:eastAsia="sk-SK"/>
        </w:rPr>
        <w:t>š</w:t>
      </w:r>
      <w:r w:rsidR="00391F61" w:rsidRPr="00C03D45">
        <w:rPr>
          <w:rFonts w:ascii="Arial Narrow" w:eastAsia="Times New Roman" w:hAnsi="Arial Narrow" w:cs="Times New Roman"/>
          <w:lang w:eastAsia="sk-SK"/>
        </w:rPr>
        <w:t xml:space="preserve">túdia uskutočniteľnosti </w:t>
      </w:r>
      <w:r w:rsidR="00022B91" w:rsidRPr="00C03D45">
        <w:rPr>
          <w:rFonts w:ascii="Arial Narrow" w:eastAsia="Times New Roman" w:hAnsi="Arial Narrow" w:cs="Times New Roman"/>
          <w:lang w:eastAsia="sk-SK"/>
        </w:rPr>
        <w:t>pomocný nástroj pre overenie hospodárnosti a efektívnosti výdavkov v súlade so špeciálnou správou Európskeho dvora audítorov</w:t>
      </w:r>
      <w:r w:rsidR="00022B91" w:rsidRPr="00C03D45">
        <w:rPr>
          <w:rStyle w:val="Odkaznapoznmkupodiarou"/>
          <w:rFonts w:ascii="Arial Narrow" w:eastAsia="Times New Roman" w:hAnsi="Arial Narrow"/>
          <w:lang w:eastAsia="sk-SK"/>
        </w:rPr>
        <w:footnoteReference w:id="6"/>
      </w:r>
      <w:r w:rsidR="00022B91" w:rsidRPr="00C03D45">
        <w:rPr>
          <w:rFonts w:ascii="Arial Narrow" w:eastAsia="Times New Roman" w:hAnsi="Arial Narrow" w:cs="Times New Roman"/>
          <w:lang w:eastAsia="sk-SK"/>
        </w:rPr>
        <w:t>, pričom na jej posúdenie využíva expertov – členov Riadiaceho výboru PO7 OPII.</w:t>
      </w:r>
    </w:p>
    <w:p w14:paraId="7E7B5200" w14:textId="77777777" w:rsidR="00A05EBC" w:rsidRPr="00C03D45" w:rsidRDefault="00A05EBC" w:rsidP="00A05EB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14:paraId="5C05CD6C" w14:textId="3332EE47" w:rsidR="00A05EBC" w:rsidRPr="00C03D45" w:rsidRDefault="00A05EBC" w:rsidP="008F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C03D45">
        <w:rPr>
          <w:rFonts w:ascii="Arial Narrow" w:eastAsia="Times New Roman" w:hAnsi="Arial Narrow" w:cs="Times New Roman"/>
          <w:b/>
          <w:lang w:eastAsia="sk-SK"/>
        </w:rPr>
        <w:t xml:space="preserve">Štúdia uskutočniteľnosti </w:t>
      </w:r>
      <w:r w:rsidR="0041048A" w:rsidRPr="00C03D45">
        <w:rPr>
          <w:rFonts w:ascii="Arial Narrow" w:eastAsia="Times New Roman" w:hAnsi="Arial Narrow" w:cs="Times New Roman"/>
          <w:b/>
          <w:lang w:eastAsia="sk-SK"/>
        </w:rPr>
        <w:t>je</w:t>
      </w:r>
      <w:r w:rsidR="00022B91" w:rsidRPr="00C03D45">
        <w:rPr>
          <w:rFonts w:ascii="Arial Narrow" w:eastAsia="Times New Roman" w:hAnsi="Arial Narrow" w:cs="Times New Roman"/>
          <w:b/>
          <w:lang w:eastAsia="sk-SK"/>
        </w:rPr>
        <w:t xml:space="preserve"> pomocný nástroj, t. z. využíva sa pri každom národnom </w:t>
      </w:r>
      <w:r w:rsidR="00C4354A">
        <w:rPr>
          <w:rFonts w:ascii="Arial Narrow" w:eastAsia="Times New Roman" w:hAnsi="Arial Narrow" w:cs="Times New Roman"/>
          <w:b/>
          <w:lang w:eastAsia="sk-SK"/>
        </w:rPr>
        <w:t>a veľkom projekte</w:t>
      </w:r>
      <w:r w:rsidR="00D46330">
        <w:rPr>
          <w:rFonts w:ascii="Arial Narrow" w:eastAsia="Times New Roman" w:hAnsi="Arial Narrow" w:cs="Times New Roman"/>
          <w:b/>
          <w:lang w:eastAsia="sk-SK"/>
        </w:rPr>
        <w:t xml:space="preserve"> PO7 OPII</w:t>
      </w:r>
      <w:r w:rsidR="009A0BA5" w:rsidRPr="00C03D45">
        <w:rPr>
          <w:rFonts w:ascii="Arial Narrow" w:eastAsia="Times New Roman" w:hAnsi="Arial Narrow" w:cs="Times New Roman"/>
          <w:b/>
          <w:lang w:eastAsia="sk-SK"/>
        </w:rPr>
        <w:t>.</w:t>
      </w:r>
      <w:r w:rsidR="00022B91" w:rsidRPr="00C03D45"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="009A0BA5" w:rsidRPr="00C03D45">
        <w:rPr>
          <w:rFonts w:ascii="Arial Narrow" w:eastAsia="Times New Roman" w:hAnsi="Arial Narrow" w:cs="Times New Roman"/>
          <w:b/>
          <w:lang w:eastAsia="sk-SK"/>
        </w:rPr>
        <w:t>V</w:t>
      </w:r>
      <w:r w:rsidR="00022B91" w:rsidRPr="00C03D45">
        <w:rPr>
          <w:rFonts w:ascii="Arial Narrow" w:eastAsia="Times New Roman" w:hAnsi="Arial Narrow" w:cs="Times New Roman"/>
          <w:b/>
          <w:lang w:eastAsia="sk-SK"/>
        </w:rPr>
        <w:t> prípade realizácie dopytovo-orientovaných projektov je možné vypracovať jednu štúdiu uskutočniteľnosti pre skupinu dopytovo-orientovaných projektov.</w:t>
      </w:r>
    </w:p>
    <w:p w14:paraId="7A1D8714" w14:textId="77777777" w:rsidR="00A05EBC" w:rsidRPr="00C03D45" w:rsidRDefault="00A05EBC" w:rsidP="00714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9DBA647" w14:textId="60736DC5" w:rsidR="00022B91" w:rsidRPr="00C03D45" w:rsidRDefault="007C10AC" w:rsidP="007C10AC">
      <w:pPr>
        <w:pStyle w:val="Ob3"/>
      </w:pPr>
      <w:bookmarkStart w:id="15" w:name="_Toc48031513"/>
      <w:r w:rsidRPr="00C03D45">
        <w:t>3</w:t>
      </w:r>
      <w:r w:rsidR="000E3D81" w:rsidRPr="00C03D45">
        <w:t>.2</w:t>
      </w:r>
      <w:r w:rsidR="00022B91" w:rsidRPr="00C03D45">
        <w:t xml:space="preserve"> </w:t>
      </w:r>
      <w:r w:rsidRPr="00C03D45">
        <w:tab/>
      </w:r>
      <w:r w:rsidR="00C23DE1">
        <w:t>Ukončené v</w:t>
      </w:r>
      <w:r w:rsidR="000E3D81" w:rsidRPr="00C03D45">
        <w:t>erejné obstarávanie</w:t>
      </w:r>
      <w:r w:rsidR="00C23DE1">
        <w:t>/obstarávanie</w:t>
      </w:r>
      <w:bookmarkEnd w:id="15"/>
      <w:r w:rsidR="00022B91" w:rsidRPr="00C03D45">
        <w:t xml:space="preserve"> </w:t>
      </w:r>
    </w:p>
    <w:p w14:paraId="1ED54F98" w14:textId="6094149E" w:rsidR="00B34DE9" w:rsidRDefault="00C23DE1" w:rsidP="000E5583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Ukončené v</w:t>
      </w:r>
      <w:r w:rsidR="00226D0F" w:rsidRPr="00C03D45">
        <w:rPr>
          <w:rFonts w:ascii="Arial Narrow" w:hAnsi="Arial Narrow"/>
        </w:rPr>
        <w:t>erejné obstarávanie</w:t>
      </w:r>
      <w:r>
        <w:rPr>
          <w:rFonts w:ascii="Arial Narrow" w:hAnsi="Arial Narrow"/>
        </w:rPr>
        <w:t>/obstarávanie</w:t>
      </w:r>
      <w:r w:rsidR="00226D0F" w:rsidRPr="00C03D45">
        <w:rPr>
          <w:rFonts w:ascii="Arial Narrow" w:hAnsi="Arial Narrow"/>
        </w:rPr>
        <w:t xml:space="preserve"> predstavuje v zmysle tejto metodiky základný</w:t>
      </w:r>
      <w:r w:rsidR="00B146BD" w:rsidRPr="00C03D45">
        <w:rPr>
          <w:rFonts w:ascii="Arial Narrow" w:hAnsi="Arial Narrow"/>
        </w:rPr>
        <w:t xml:space="preserve"> (nie pomocný)</w:t>
      </w:r>
      <w:r w:rsidR="00226D0F" w:rsidRPr="00C03D45">
        <w:rPr>
          <w:rFonts w:ascii="Arial Narrow" w:hAnsi="Arial Narrow"/>
        </w:rPr>
        <w:t xml:space="preserve"> nástroj </w:t>
      </w:r>
      <w:r w:rsidR="00226D0F" w:rsidRPr="00C03D45">
        <w:rPr>
          <w:rFonts w:ascii="Arial Narrow" w:eastAsia="Times New Roman" w:hAnsi="Arial Narrow" w:cs="Times New Roman"/>
        </w:rPr>
        <w:t>na overenie hospodárnosti a efektívnosti výdavkov v rámci PO7 OPII</w:t>
      </w:r>
      <w:r w:rsidR="00B146BD" w:rsidRPr="00C03D45">
        <w:rPr>
          <w:rFonts w:ascii="Arial Narrow" w:eastAsia="Times New Roman" w:hAnsi="Arial Narrow" w:cs="Times New Roman"/>
        </w:rPr>
        <w:t>. V</w:t>
      </w:r>
      <w:r w:rsidR="00226D0F" w:rsidRPr="00C03D45">
        <w:rPr>
          <w:rFonts w:ascii="Arial Narrow" w:eastAsia="Times New Roman" w:hAnsi="Arial Narrow" w:cs="Times New Roman"/>
        </w:rPr>
        <w:t> rámci</w:t>
      </w:r>
      <w:r w:rsidR="00226D0F" w:rsidRPr="00C03D45">
        <w:rPr>
          <w:rFonts w:ascii="Arial Narrow" w:hAnsi="Arial Narrow"/>
        </w:rPr>
        <w:t xml:space="preserve"> hodnotiaceho procesu ŽoNFP je verejné obstarávanie</w:t>
      </w:r>
      <w:r w:rsidR="00B146BD" w:rsidRPr="00C03D45">
        <w:rPr>
          <w:rFonts w:ascii="Arial Narrow" w:hAnsi="Arial Narrow"/>
        </w:rPr>
        <w:t xml:space="preserve"> overované </w:t>
      </w:r>
      <w:r w:rsidR="00226D0F" w:rsidRPr="00C03D45">
        <w:rPr>
          <w:rFonts w:ascii="Arial Narrow" w:hAnsi="Arial Narrow"/>
        </w:rPr>
        <w:t>Ministerstvo</w:t>
      </w:r>
      <w:r w:rsidR="00B146BD" w:rsidRPr="00C03D45">
        <w:rPr>
          <w:rFonts w:ascii="Arial Narrow" w:hAnsi="Arial Narrow"/>
        </w:rPr>
        <w:t>m</w:t>
      </w:r>
      <w:r w:rsidR="00226D0F" w:rsidRPr="00C03D45">
        <w:rPr>
          <w:rFonts w:ascii="Arial Narrow" w:hAnsi="Arial Narrow"/>
        </w:rPr>
        <w:t xml:space="preserve"> dopravy</w:t>
      </w:r>
      <w:r w:rsidR="006F7467">
        <w:rPr>
          <w:rFonts w:ascii="Arial Narrow" w:hAnsi="Arial Narrow"/>
        </w:rPr>
        <w:t xml:space="preserve"> a</w:t>
      </w:r>
      <w:r w:rsidR="00226D0F" w:rsidRPr="00C03D45">
        <w:rPr>
          <w:rFonts w:ascii="Arial Narrow" w:hAnsi="Arial Narrow"/>
        </w:rPr>
        <w:t xml:space="preserve"> výstavby SR, ktoré </w:t>
      </w:r>
      <w:r w:rsidR="00803720" w:rsidRPr="00C03D45">
        <w:rPr>
          <w:rFonts w:ascii="Arial Narrow" w:hAnsi="Arial Narrow"/>
        </w:rPr>
        <w:t xml:space="preserve">v zmysle uznesenia vlády SR č. 171 zo dňa 16.04.2014 </w:t>
      </w:r>
      <w:r w:rsidR="00226D0F" w:rsidRPr="00C03D45">
        <w:rPr>
          <w:rFonts w:ascii="Arial Narrow" w:hAnsi="Arial Narrow"/>
        </w:rPr>
        <w:t>plní v rámci programového obdobia 2014 – 2020 úlohu riadiaceho orgánu pre OPII</w:t>
      </w:r>
      <w:r w:rsidR="00C13620" w:rsidRPr="00C03D45">
        <w:rPr>
          <w:rFonts w:ascii="Arial Narrow" w:hAnsi="Arial Narrow"/>
        </w:rPr>
        <w:t xml:space="preserve"> (ďalej len „RO“)</w:t>
      </w:r>
      <w:r w:rsidR="00226D0F" w:rsidRPr="00C03D45">
        <w:rPr>
          <w:rFonts w:ascii="Arial Narrow" w:hAnsi="Arial Narrow"/>
        </w:rPr>
        <w:t>.</w:t>
      </w:r>
    </w:p>
    <w:p w14:paraId="714B2C82" w14:textId="77777777" w:rsidR="006F7467" w:rsidRPr="00C03D45" w:rsidRDefault="006F7467" w:rsidP="000E5583">
      <w:pPr>
        <w:spacing w:after="0"/>
        <w:jc w:val="both"/>
        <w:rPr>
          <w:rFonts w:ascii="Arial Narrow" w:hAnsi="Arial Narrow"/>
        </w:rPr>
      </w:pPr>
    </w:p>
    <w:p w14:paraId="31D6F72D" w14:textId="253B955F" w:rsidR="00B34DE9" w:rsidRPr="00C03D45" w:rsidRDefault="00B34DE9" w:rsidP="008F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C03D45">
        <w:rPr>
          <w:rFonts w:ascii="Arial Narrow" w:eastAsia="Times New Roman" w:hAnsi="Arial Narrow" w:cs="Times New Roman"/>
          <w:b/>
          <w:lang w:eastAsia="sk-SK"/>
        </w:rPr>
        <w:t>Verejné obstarávanie</w:t>
      </w:r>
      <w:r w:rsidR="0041048A" w:rsidRPr="00C03D45">
        <w:rPr>
          <w:rFonts w:ascii="Arial Narrow" w:eastAsia="Times New Roman" w:hAnsi="Arial Narrow" w:cs="Times New Roman"/>
          <w:b/>
          <w:lang w:eastAsia="sk-SK"/>
        </w:rPr>
        <w:t xml:space="preserve"> je</w:t>
      </w:r>
      <w:r w:rsidR="000839D4" w:rsidRPr="00C03D45">
        <w:rPr>
          <w:rFonts w:ascii="Arial Narrow" w:eastAsia="Times New Roman" w:hAnsi="Arial Narrow" w:cs="Times New Roman"/>
          <w:b/>
          <w:lang w:eastAsia="sk-SK"/>
        </w:rPr>
        <w:t xml:space="preserve"> základný</w:t>
      </w:r>
      <w:r w:rsidR="0041048A" w:rsidRPr="00C03D45"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Pr="00C03D45">
        <w:rPr>
          <w:rFonts w:ascii="Arial Narrow" w:eastAsia="Times New Roman" w:hAnsi="Arial Narrow" w:cs="Times New Roman"/>
          <w:b/>
          <w:lang w:eastAsia="sk-SK"/>
        </w:rPr>
        <w:t>nástroj, ktorý sa využíva pri každom projekte PO7 OPII</w:t>
      </w:r>
      <w:r w:rsidR="002E52E3"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. </w:t>
      </w:r>
      <w:r w:rsidR="0069757B" w:rsidRPr="00C03D45">
        <w:rPr>
          <w:rFonts w:ascii="Arial Narrow" w:eastAsia="Times New Roman" w:hAnsi="Arial Narrow" w:cs="Times New Roman"/>
          <w:b/>
          <w:lang w:eastAsia="sk-SK"/>
        </w:rPr>
        <w:t xml:space="preserve">Bližšie informácie k procesu </w:t>
      </w:r>
      <w:r w:rsidR="005873BA">
        <w:rPr>
          <w:rFonts w:ascii="Arial Narrow" w:eastAsia="Times New Roman" w:hAnsi="Arial Narrow" w:cs="Times New Roman"/>
          <w:b/>
          <w:lang w:eastAsia="sk-SK"/>
        </w:rPr>
        <w:t>verejného obstarávania</w:t>
      </w:r>
      <w:r w:rsidR="00C23DE1">
        <w:rPr>
          <w:rFonts w:ascii="Arial Narrow" w:eastAsia="Times New Roman" w:hAnsi="Arial Narrow" w:cs="Times New Roman"/>
          <w:b/>
          <w:lang w:eastAsia="sk-SK"/>
        </w:rPr>
        <w:t>/obstarávania</w:t>
      </w:r>
      <w:r w:rsidR="005873BA"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sú uvedené v</w:t>
      </w:r>
      <w:r w:rsidR="0069757B" w:rsidRPr="00C03D45"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>Príručke</w:t>
      </w:r>
      <w:r w:rsidR="0069757B" w:rsidRPr="00C03D45">
        <w:rPr>
          <w:rFonts w:ascii="Arial Narrow" w:eastAsia="Times New Roman" w:hAnsi="Arial Narrow" w:cs="Times New Roman"/>
          <w:b/>
          <w:lang w:eastAsia="sk-SK"/>
        </w:rPr>
        <w:t xml:space="preserve"> pre realizáciu VO OPII 2014 – 2020</w:t>
      </w:r>
      <w:r w:rsidR="00715CE9" w:rsidRPr="00C03D45">
        <w:rPr>
          <w:rStyle w:val="Odkaznapoznmkupodiarou"/>
          <w:rFonts w:ascii="Arial Narrow" w:eastAsia="Times New Roman" w:hAnsi="Arial Narrow"/>
          <w:b/>
          <w:lang w:eastAsia="sk-SK"/>
        </w:rPr>
        <w:footnoteReference w:id="7"/>
      </w:r>
      <w:r w:rsidR="0069757B" w:rsidRPr="00C03D45">
        <w:rPr>
          <w:rFonts w:ascii="Arial Narrow" w:eastAsia="Times New Roman" w:hAnsi="Arial Narrow" w:cs="Times New Roman"/>
          <w:b/>
          <w:lang w:eastAsia="sk-SK"/>
        </w:rPr>
        <w:t>.</w:t>
      </w:r>
    </w:p>
    <w:p w14:paraId="5655BA3F" w14:textId="77777777" w:rsidR="00B34DE9" w:rsidRPr="00C03D45" w:rsidRDefault="00B34DE9">
      <w:pPr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1A5C5965" w14:textId="07FB84FA" w:rsidR="0011666C" w:rsidRPr="00C03D45" w:rsidRDefault="0011666C" w:rsidP="0011666C">
      <w:pPr>
        <w:pStyle w:val="Ob3"/>
      </w:pPr>
      <w:bookmarkStart w:id="16" w:name="_Toc48031514"/>
      <w:r w:rsidRPr="00C03D45">
        <w:t xml:space="preserve">3.3 </w:t>
      </w:r>
      <w:r w:rsidRPr="00C03D45">
        <w:tab/>
        <w:t>Zneoprávnenie skupiny, resp. typu výdavkov</w:t>
      </w:r>
      <w:bookmarkEnd w:id="16"/>
      <w:r w:rsidRPr="00C03D45">
        <w:t xml:space="preserve"> </w:t>
      </w:r>
    </w:p>
    <w:p w14:paraId="6CEB4FAC" w14:textId="4E132180" w:rsidR="0011666C" w:rsidRPr="00C03D45" w:rsidRDefault="0011666C" w:rsidP="00AA74B2">
      <w:pPr>
        <w:pStyle w:val="SRKNorm"/>
        <w:numPr>
          <w:ilvl w:val="0"/>
          <w:numId w:val="0"/>
        </w:numPr>
        <w:spacing w:before="0" w:after="120"/>
        <w:contextualSpacing w:val="0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Jedným z nástrojov pre zabezpečenie hospodárnosti a efektívnosti výdavkov, je zneoprávnenie výdavkov, ktoré sú inak pre daný typ projektu typické</w:t>
      </w:r>
      <w:r w:rsidR="006F7467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a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z hľadiska plnenia cieľov OPII je tieto ciele možné dosiahnuť efektívnejším a hospodárnejším spôsobom. V podmienkach PO7 OPII ide predovšetkým o využitie služieb </w:t>
      </w:r>
      <w:r w:rsidR="00C522FE">
        <w:rPr>
          <w:rFonts w:ascii="Arial Narrow" w:eastAsiaTheme="minorHAnsi" w:hAnsi="Arial Narrow" w:cstheme="minorBidi"/>
          <w:sz w:val="22"/>
          <w:szCs w:val="22"/>
          <w:lang w:eastAsia="en-US"/>
        </w:rPr>
        <w:t>„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Infrastructure as a</w:t>
      </w:r>
      <w:r w:rsidR="00C522FE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Service</w:t>
      </w:r>
      <w:r w:rsidR="00C522FE">
        <w:rPr>
          <w:rFonts w:ascii="Arial Narrow" w:eastAsiaTheme="minorHAnsi" w:hAnsi="Arial Narrow" w:cstheme="minorBidi"/>
          <w:sz w:val="22"/>
          <w:szCs w:val="22"/>
          <w:lang w:eastAsia="en-US"/>
        </w:rPr>
        <w:t>“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v rámci vládneho cloudu. To znamená, že v rámci projektov, kde bude štúdiou uskutočniteľnosti preukázané, že je možné využiť služby poskytovateľa vládneho cloudu</w:t>
      </w:r>
      <w:r w:rsidR="006F7467">
        <w:rPr>
          <w:rFonts w:ascii="Arial Narrow" w:eastAsiaTheme="minorHAnsi" w:hAnsi="Arial Narrow" w:cstheme="minorBidi"/>
          <w:sz w:val="22"/>
          <w:szCs w:val="22"/>
          <w:lang w:eastAsia="en-US"/>
        </w:rPr>
        <w:t>,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nebudú výdavky na hardvér oprávnené, s výnimkou špecifického hardvéru, ktorý nevie poskytovateľ vládneho cloud</w:t>
      </w:r>
      <w:r w:rsidR="00156C04">
        <w:rPr>
          <w:rFonts w:ascii="Arial Narrow" w:eastAsiaTheme="minorHAnsi" w:hAnsi="Arial Narrow" w:cstheme="minorBidi"/>
          <w:sz w:val="22"/>
          <w:szCs w:val="22"/>
          <w:lang w:eastAsia="en-US"/>
        </w:rPr>
        <w:t>u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zabezpečiť (napr. </w:t>
      </w:r>
      <w:r w:rsidR="00C522FE">
        <w:rPr>
          <w:rFonts w:ascii="Arial Narrow" w:eastAsiaTheme="minorHAnsi" w:hAnsi="Arial Narrow" w:cstheme="minorBidi"/>
          <w:sz w:val="22"/>
          <w:szCs w:val="22"/>
          <w:lang w:eastAsia="en-US"/>
        </w:rPr>
        <w:t>fyzické servery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, </w:t>
      </w:r>
      <w:r w:rsidR="00C522FE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pc, resp. 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zero klienty). </w:t>
      </w:r>
      <w:r w:rsidR="00780397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Obmedzenia týkajúce sa oprávnených výdavkov nad rámec </w:t>
      </w:r>
      <w:r w:rsidR="005873BA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Príručk</w:t>
      </w:r>
      <w:r w:rsidR="0063648E">
        <w:rPr>
          <w:rFonts w:ascii="Arial Narrow" w:eastAsiaTheme="minorHAnsi" w:hAnsi="Arial Narrow" w:cstheme="minorBidi"/>
          <w:sz w:val="22"/>
          <w:szCs w:val="22"/>
          <w:lang w:eastAsia="en-US"/>
        </w:rPr>
        <w:t>y</w:t>
      </w:r>
      <w:r w:rsidR="005873BA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oprávnenosti výdavkov Prioritnej osi 7 Informačná spoločnosť Operačného programu Integrovaná infraštruktúra</w:t>
      </w:r>
      <w:r w:rsidR="005873BA" w:rsidRPr="00C03D45">
        <w:rPr>
          <w:rStyle w:val="Odkaznapoznmkupodiarou"/>
          <w:rFonts w:ascii="Arial Narrow" w:eastAsiaTheme="minorHAnsi" w:hAnsi="Arial Narrow"/>
          <w:sz w:val="22"/>
          <w:szCs w:val="22"/>
          <w:lang w:eastAsia="en-US"/>
        </w:rPr>
        <w:footnoteReference w:id="8"/>
      </w:r>
      <w:r w:rsidR="005873BA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(ďalej len „Príručka oprávnenosti výdavkov PO7 OPII</w:t>
      </w:r>
      <w:r w:rsidR="005873BA" w:rsidRPr="001C5B9C">
        <w:rPr>
          <w:rFonts w:ascii="Arial Narrow" w:eastAsiaTheme="minorHAnsi" w:hAnsi="Arial Narrow" w:cstheme="minorBidi"/>
          <w:sz w:val="22"/>
          <w:szCs w:val="22"/>
          <w:lang w:eastAsia="en-US"/>
        </w:rPr>
        <w:t>“),</w:t>
      </w:r>
      <w:r w:rsidR="005873BA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780397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budú súčasťou </w:t>
      </w:r>
      <w:r w:rsidR="00A81135">
        <w:rPr>
          <w:rFonts w:ascii="Arial Narrow" w:eastAsiaTheme="minorHAnsi" w:hAnsi="Arial Narrow" w:cstheme="minorBidi"/>
          <w:sz w:val="22"/>
          <w:szCs w:val="22"/>
          <w:lang w:eastAsia="en-US"/>
        </w:rPr>
        <w:t>každ</w:t>
      </w:r>
      <w:r w:rsidR="001B2C81">
        <w:rPr>
          <w:rFonts w:ascii="Arial Narrow" w:eastAsiaTheme="minorHAnsi" w:hAnsi="Arial Narrow" w:cstheme="minorBidi"/>
          <w:sz w:val="22"/>
          <w:szCs w:val="22"/>
          <w:lang w:eastAsia="en-US"/>
        </w:rPr>
        <w:t>ej</w:t>
      </w:r>
      <w:r w:rsidR="00A8113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1B2C81">
        <w:rPr>
          <w:rFonts w:ascii="Arial Narrow" w:eastAsiaTheme="minorHAnsi" w:hAnsi="Arial Narrow" w:cstheme="minorBidi"/>
          <w:sz w:val="22"/>
          <w:szCs w:val="22"/>
          <w:lang w:eastAsia="en-US"/>
        </w:rPr>
        <w:t>výzvy/</w:t>
      </w:r>
      <w:r w:rsidR="00780397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vyzvania.</w:t>
      </w:r>
    </w:p>
    <w:p w14:paraId="7FE47553" w14:textId="4F7A632D" w:rsidR="00780397" w:rsidRPr="00C03D45" w:rsidRDefault="00780397" w:rsidP="00780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C03D45">
        <w:rPr>
          <w:rFonts w:ascii="Arial Narrow" w:eastAsia="Times New Roman" w:hAnsi="Arial Narrow" w:cs="Times New Roman"/>
          <w:b/>
          <w:lang w:eastAsia="sk-SK"/>
        </w:rPr>
        <w:t xml:space="preserve">Zneoprávnenie skupiny, resp. typu výdavkov je ďalším z pomocných nástrojov, ktoré sa môžu využívať </w:t>
      </w:r>
      <w:r w:rsidR="002E52E3">
        <w:rPr>
          <w:rFonts w:ascii="Arial Narrow" w:eastAsia="Times New Roman" w:hAnsi="Arial Narrow" w:cs="Times New Roman"/>
          <w:b/>
          <w:lang w:eastAsia="sk-SK"/>
        </w:rPr>
        <w:t xml:space="preserve">pri overovaní hospodárnosti  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pri špecifických výdavkoch v rámci projektov PO7 OPII. Typickým príkladom sú výdavky na hardvér. SO v prípade, že štúdia uskutočniteľnosti preukázala možnosť využitia vládneho cloudu, označí výdavky na HW za neoprávnené. </w:t>
      </w:r>
    </w:p>
    <w:p w14:paraId="3025A1F2" w14:textId="77777777" w:rsidR="00780397" w:rsidRPr="00C03D45" w:rsidRDefault="00780397" w:rsidP="00780397"/>
    <w:p w14:paraId="3DD48B6C" w14:textId="3564634F" w:rsidR="0011666C" w:rsidRPr="00C03D45" w:rsidRDefault="00780397" w:rsidP="0011666C">
      <w:pPr>
        <w:pStyle w:val="Ob3"/>
      </w:pPr>
      <w:bookmarkStart w:id="17" w:name="_Toc48031515"/>
      <w:r w:rsidRPr="00C03D45">
        <w:t>3.4</w:t>
      </w:r>
      <w:r w:rsidR="0011666C" w:rsidRPr="00C03D45">
        <w:tab/>
        <w:t>Percentuálne limity pre jednotlivé skupiny výdavkov</w:t>
      </w:r>
      <w:bookmarkEnd w:id="17"/>
      <w:r w:rsidR="0011666C" w:rsidRPr="00C03D45">
        <w:t xml:space="preserve"> </w:t>
      </w:r>
    </w:p>
    <w:p w14:paraId="25001A8D" w14:textId="2BE7CA31" w:rsidR="002903CB" w:rsidRPr="00C03D45" w:rsidRDefault="009E51C8" w:rsidP="00194F1D">
      <w:pPr>
        <w:pStyle w:val="SRKNorm"/>
        <w:numPr>
          <w:ilvl w:val="0"/>
          <w:numId w:val="0"/>
        </w:numPr>
        <w:spacing w:before="0" w:after="0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Percentuálne limity pre jednotlivé skupiny výdavkov</w:t>
      </w:r>
      <w:r w:rsidR="00A2203F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pre projekty PO7 OPII 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(ďalej aj „percentuálne limity“) sú ďalším</w:t>
      </w:r>
      <w:r w:rsidR="00194F1D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dôležitým</w:t>
      </w:r>
      <w:r w:rsidR="007C4445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pomocným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nástrojom na zabezpečenie hospodárnosti výdavkov, keďže obmedzujú výšku niektorých špecifických skupín výdavkov.</w:t>
      </w:r>
      <w:r w:rsidR="001C7104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</w:p>
    <w:p w14:paraId="04BF042F" w14:textId="79596637" w:rsidR="00194F1D" w:rsidRPr="00C03D45" w:rsidRDefault="00DC207F" w:rsidP="000E5583">
      <w:pPr>
        <w:pStyle w:val="SRKNorm"/>
        <w:numPr>
          <w:ilvl w:val="0"/>
          <w:numId w:val="0"/>
        </w:numPr>
        <w:spacing w:before="120" w:after="0"/>
        <w:contextualSpacing w:val="0"/>
      </w:pP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Základné percentuálne limity sú vždy špecifikované v riadiacej dokumentácii, na ktorú </w:t>
      </w:r>
      <w:r w:rsidR="001B2C81">
        <w:rPr>
          <w:rFonts w:ascii="Arial Narrow" w:eastAsiaTheme="minorHAnsi" w:hAnsi="Arial Narrow" w:cstheme="minorBidi"/>
          <w:sz w:val="22"/>
          <w:szCs w:val="22"/>
          <w:lang w:eastAsia="en-US"/>
        </w:rPr>
        <w:t>výzva/</w:t>
      </w: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vyzvanie odkazuje. </w:t>
      </w:r>
      <w:r w:rsidR="00A81135">
        <w:rPr>
          <w:rFonts w:ascii="Arial Narrow" w:eastAsiaTheme="minorHAnsi" w:hAnsi="Arial Narrow" w:cstheme="minorBidi"/>
          <w:sz w:val="22"/>
          <w:szCs w:val="22"/>
          <w:lang w:eastAsia="en-US"/>
        </w:rPr>
        <w:t>P</w:t>
      </w:r>
      <w:r w:rsidR="009E51C8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ravidlá</w:t>
      </w:r>
      <w:r w:rsidR="00A8113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9E51C8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oprávnenosti výdavkov na úrovni </w:t>
      </w:r>
      <w:r w:rsidR="0097556E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PO7 OPII</w:t>
      </w:r>
      <w:r w:rsidR="00E16346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sú bližšie špecifikované</w:t>
      </w:r>
      <w:r w:rsidR="00A54EA3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v</w:t>
      </w:r>
      <w:r w:rsidR="006F7467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A54EA3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Príručk</w:t>
      </w:r>
      <w:r w:rsidR="005873BA">
        <w:rPr>
          <w:rFonts w:ascii="Arial Narrow" w:eastAsiaTheme="minorHAnsi" w:hAnsi="Arial Narrow" w:cstheme="minorBidi"/>
          <w:sz w:val="22"/>
          <w:szCs w:val="22"/>
          <w:lang w:eastAsia="en-US"/>
        </w:rPr>
        <w:t>e</w:t>
      </w:r>
      <w:r w:rsidR="00A54EA3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oprávnenosti výdavkov PO7 OPII</w:t>
      </w:r>
      <w:r w:rsidR="00A81135" w:rsidRPr="001C5B9C">
        <w:rPr>
          <w:rFonts w:ascii="Arial Narrow" w:eastAsiaTheme="minorHAnsi" w:hAnsi="Arial Narrow" w:cstheme="minorBidi"/>
          <w:sz w:val="22"/>
          <w:szCs w:val="22"/>
          <w:lang w:eastAsia="en-US"/>
        </w:rPr>
        <w:t>,</w:t>
      </w:r>
      <w:r w:rsidR="006F7467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ktorá tvorí prílohu Príručky pre žiadateľa</w:t>
      </w:r>
      <w:r w:rsidR="00817563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OPII PO7 Informačná spoločnosť</w:t>
      </w:r>
      <w:r w:rsidR="006F7467">
        <w:rPr>
          <w:rFonts w:ascii="Arial Narrow" w:eastAsiaTheme="minorHAnsi" w:hAnsi="Arial Narrow" w:cstheme="minorBidi"/>
          <w:sz w:val="22"/>
          <w:szCs w:val="22"/>
          <w:lang w:eastAsia="en-US"/>
        </w:rPr>
        <w:t>,</w:t>
      </w:r>
      <w:r w:rsidR="00A81135" w:rsidRPr="001C5B9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v ktorej SO</w:t>
      </w:r>
      <w:r w:rsidR="00A54EA3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stanovil</w:t>
      </w:r>
      <w:r w:rsidR="009E51C8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maximálne percentuálne podiely jednotlivých skupín výdavkov na celkových oprávnených výdavkoch projektu </w:t>
      </w:r>
      <w:r w:rsidR="00A54EA3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v rámci PO7 OPII</w:t>
      </w:r>
      <w:r w:rsidR="009E51C8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. </w:t>
      </w:r>
    </w:p>
    <w:p w14:paraId="40BB6ABF" w14:textId="754A369B" w:rsidR="00022B91" w:rsidRPr="00C03D45" w:rsidRDefault="00F441C5" w:rsidP="003D073F">
      <w:pPr>
        <w:spacing w:before="120"/>
        <w:rPr>
          <w:rFonts w:ascii="Arial Narrow" w:hAnsi="Arial Narrow"/>
        </w:rPr>
      </w:pPr>
      <w:r w:rsidRPr="00C03D45">
        <w:rPr>
          <w:rFonts w:ascii="Arial Narrow" w:hAnsi="Arial Narrow"/>
        </w:rPr>
        <w:t xml:space="preserve">V rámci </w:t>
      </w:r>
      <w:r w:rsidR="00D960F0" w:rsidRPr="00C03D45">
        <w:rPr>
          <w:rFonts w:ascii="Arial Narrow" w:hAnsi="Arial Narrow"/>
        </w:rPr>
        <w:t>PO7</w:t>
      </w:r>
      <w:r w:rsidRPr="00C03D45">
        <w:rPr>
          <w:rFonts w:ascii="Arial Narrow" w:hAnsi="Arial Narrow"/>
        </w:rPr>
        <w:t xml:space="preserve"> OPII sa uplatňujú nasledovné percentuálne limity pre jednot</w:t>
      </w:r>
      <w:r w:rsidR="00715CE9" w:rsidRPr="00C03D45">
        <w:rPr>
          <w:rFonts w:ascii="Arial Narrow" w:hAnsi="Arial Narrow"/>
        </w:rPr>
        <w:t>l</w:t>
      </w:r>
      <w:r w:rsidRPr="00C03D45">
        <w:rPr>
          <w:rFonts w:ascii="Arial Narrow" w:hAnsi="Arial Narrow"/>
        </w:rPr>
        <w:t>ivé skupiny výdavkov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418"/>
        <w:gridCol w:w="1559"/>
        <w:gridCol w:w="1559"/>
      </w:tblGrid>
      <w:tr w:rsidR="009C6F93" w:rsidRPr="00C03D45" w14:paraId="4E04562D" w14:textId="77777777" w:rsidTr="0038780F">
        <w:tc>
          <w:tcPr>
            <w:tcW w:w="9067" w:type="dxa"/>
            <w:gridSpan w:val="5"/>
            <w:shd w:val="clear" w:color="auto" w:fill="D9D9D9" w:themeFill="background1" w:themeFillShade="D9"/>
          </w:tcPr>
          <w:p w14:paraId="0B4AC215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Limity na nákup nehnuteľností</w:t>
            </w:r>
          </w:p>
        </w:tc>
      </w:tr>
      <w:tr w:rsidR="008D2F04" w:rsidRPr="00C03D45" w14:paraId="2365461C" w14:textId="77777777" w:rsidTr="0038780F">
        <w:tc>
          <w:tcPr>
            <w:tcW w:w="1696" w:type="dxa"/>
            <w:shd w:val="clear" w:color="auto" w:fill="D9D9D9" w:themeFill="background1" w:themeFillShade="D9"/>
          </w:tcPr>
          <w:p w14:paraId="176ADF2E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Špecifický cieľ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A00B196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Podmienka pre nákup stavby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7A9CB72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Limit na nákup stavby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7EE82F3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Limit na nákup pozemku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4225009" w14:textId="39CAF61C" w:rsidR="009C6F93" w:rsidRPr="00C03D45" w:rsidRDefault="009C6F93" w:rsidP="0079226A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Celkový limit na nákup nehnuteľností</w:t>
            </w:r>
          </w:p>
        </w:tc>
      </w:tr>
      <w:tr w:rsidR="008D2F04" w:rsidRPr="00C03D45" w14:paraId="5353AC5C" w14:textId="77777777" w:rsidTr="0038780F">
        <w:tc>
          <w:tcPr>
            <w:tcW w:w="1696" w:type="dxa"/>
          </w:tcPr>
          <w:p w14:paraId="7F3F55AB" w14:textId="7A72F956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7.1 Zvýšenie pokrytia širokopásmovým internetom/NGN</w:t>
            </w:r>
          </w:p>
        </w:tc>
        <w:tc>
          <w:tcPr>
            <w:tcW w:w="2835" w:type="dxa"/>
          </w:tcPr>
          <w:p w14:paraId="3BC6757C" w14:textId="76C5914C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Stavba je nevyhnutná pre splnenie cieľa 100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pokrytia SR širokopásmovým pripojením s rýchlosťou minimálne 30 Mbit/s</w:t>
            </w:r>
          </w:p>
        </w:tc>
        <w:tc>
          <w:tcPr>
            <w:tcW w:w="1418" w:type="dxa"/>
          </w:tcPr>
          <w:p w14:paraId="4795F355" w14:textId="41E10D29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50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 oprávnených výdavkov</w:t>
            </w:r>
          </w:p>
        </w:tc>
        <w:tc>
          <w:tcPr>
            <w:tcW w:w="1559" w:type="dxa"/>
          </w:tcPr>
          <w:p w14:paraId="080A08BE" w14:textId="2E38E05B" w:rsidR="009C6F93" w:rsidRPr="00C03D45" w:rsidRDefault="009C6F93" w:rsidP="0079226A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resp. 15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 xml:space="preserve">% </w:t>
            </w:r>
          </w:p>
          <w:p w14:paraId="5EA4E330" w14:textId="7948C528" w:rsidR="00F537C4" w:rsidRPr="00C03D45" w:rsidRDefault="00F537C4" w:rsidP="0079226A">
            <w:pPr>
              <w:spacing w:after="160" w:line="259" w:lineRule="auto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76AC8412" w14:textId="1AA09D90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60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resp. 65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</w:p>
        </w:tc>
      </w:tr>
      <w:tr w:rsidR="008D2F04" w:rsidRPr="00C03D45" w14:paraId="5D58CBF5" w14:textId="77777777" w:rsidTr="001370F7">
        <w:trPr>
          <w:trHeight w:val="1989"/>
        </w:trPr>
        <w:tc>
          <w:tcPr>
            <w:tcW w:w="1696" w:type="dxa"/>
          </w:tcPr>
          <w:p w14:paraId="4C082F25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7.8 Racionalizácia prevádzky informačných systémov pomocou eGovernment cloudu</w:t>
            </w:r>
          </w:p>
        </w:tc>
        <w:tc>
          <w:tcPr>
            <w:tcW w:w="2835" w:type="dxa"/>
          </w:tcPr>
          <w:p w14:paraId="71058398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Stavba spĺňa podmienky minimálne pre úroveň Tier III podľa metodiky The Uptime Institute pre dátové centrá</w:t>
            </w:r>
          </w:p>
        </w:tc>
        <w:tc>
          <w:tcPr>
            <w:tcW w:w="1418" w:type="dxa"/>
          </w:tcPr>
          <w:p w14:paraId="7B96404C" w14:textId="274B9DA0" w:rsidR="009C6F93" w:rsidRPr="00C03D45" w:rsidRDefault="009C6F93" w:rsidP="00D97E77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 oprávnených výdavkov</w:t>
            </w:r>
          </w:p>
        </w:tc>
        <w:tc>
          <w:tcPr>
            <w:tcW w:w="1559" w:type="dxa"/>
          </w:tcPr>
          <w:p w14:paraId="4E2D9AF8" w14:textId="66FD5091" w:rsidR="009C6F93" w:rsidRPr="00C03D45" w:rsidRDefault="009C6F93" w:rsidP="0079226A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resp. 15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</w:t>
            </w:r>
          </w:p>
        </w:tc>
        <w:tc>
          <w:tcPr>
            <w:tcW w:w="1559" w:type="dxa"/>
          </w:tcPr>
          <w:p w14:paraId="469F0392" w14:textId="69DCE5B2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  <w:r w:rsidR="00D97E77">
              <w:rPr>
                <w:rStyle w:val="Odkaznapoznmkupodiarou"/>
                <w:rFonts w:ascii="Arial Narrow" w:hAnsi="Arial Narrow"/>
              </w:rPr>
              <w:footnoteReference w:id="9"/>
            </w:r>
          </w:p>
        </w:tc>
      </w:tr>
      <w:tr w:rsidR="008D2F04" w:rsidRPr="00C03D45" w14:paraId="459070A4" w14:textId="77777777" w:rsidTr="006D304A">
        <w:trPr>
          <w:trHeight w:val="2306"/>
        </w:trPr>
        <w:tc>
          <w:tcPr>
            <w:tcW w:w="1696" w:type="dxa"/>
          </w:tcPr>
          <w:p w14:paraId="329560A1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7.8 Racionalizácia prevádzky informačných systémov pomocou eGovernment cloudu</w:t>
            </w:r>
          </w:p>
        </w:tc>
        <w:tc>
          <w:tcPr>
            <w:tcW w:w="2835" w:type="dxa"/>
          </w:tcPr>
          <w:p w14:paraId="27A8C62C" w14:textId="27D44929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Stavba nespĺňa podmienky minimálne pre úroveň Tier III podľa metodiky The Uptime Institute pre dátové centrá</w:t>
            </w:r>
          </w:p>
          <w:p w14:paraId="10C75CFB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Predmetom projektu je úprava s cieľom splniť podmienky minimálne pre úroveň Tier III</w:t>
            </w:r>
          </w:p>
          <w:p w14:paraId="4B46B83D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14:paraId="7316D8B2" w14:textId="2F902015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 oprávnených výdavkov</w:t>
            </w:r>
          </w:p>
        </w:tc>
        <w:tc>
          <w:tcPr>
            <w:tcW w:w="1559" w:type="dxa"/>
          </w:tcPr>
          <w:p w14:paraId="4E840B04" w14:textId="26984DF7" w:rsidR="009C6F93" w:rsidRPr="00C03D45" w:rsidRDefault="009C6F93" w:rsidP="0079226A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resp. 15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 xml:space="preserve">% </w:t>
            </w:r>
          </w:p>
        </w:tc>
        <w:tc>
          <w:tcPr>
            <w:tcW w:w="1559" w:type="dxa"/>
          </w:tcPr>
          <w:p w14:paraId="3AA77717" w14:textId="61552F95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80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resp. 85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</w:p>
        </w:tc>
      </w:tr>
      <w:tr w:rsidR="009C6F93" w:rsidRPr="00C03D45" w14:paraId="011AA28C" w14:textId="77777777" w:rsidTr="0038780F">
        <w:tc>
          <w:tcPr>
            <w:tcW w:w="1696" w:type="dxa"/>
          </w:tcPr>
          <w:p w14:paraId="513E21C3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7.2, 7.3, 7.4, 7.5, 7.6, 7.7, 7.9</w:t>
            </w:r>
          </w:p>
        </w:tc>
        <w:tc>
          <w:tcPr>
            <w:tcW w:w="7371" w:type="dxa"/>
            <w:gridSpan w:val="4"/>
          </w:tcPr>
          <w:p w14:paraId="57A21C0A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Výdavky na nákup nehnuteľností sú neoprávnené</w:t>
            </w:r>
          </w:p>
        </w:tc>
      </w:tr>
    </w:tbl>
    <w:p w14:paraId="3D781F9B" w14:textId="37CEA68F" w:rsidR="0038780F" w:rsidRDefault="0038780F" w:rsidP="001C5B9C">
      <w:pPr>
        <w:spacing w:before="120" w:after="0" w:line="240" w:lineRule="auto"/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 xml:space="preserve">Vyššie uvedený limit pre špecifický cieľ 7.1 Zvýšenie pokrytia širokopásmovým internetom/NGN bol stanovený na základe expertného odhadu, kedy sa predpokladá, že časť výdavkov súvisiacich s výstavbou širokopásmového pripojenia </w:t>
      </w:r>
      <w:r w:rsidR="001861AC" w:rsidRPr="00C03D45">
        <w:rPr>
          <w:rFonts w:ascii="Arial Narrow" w:hAnsi="Arial Narrow"/>
        </w:rPr>
        <w:t>by mohlo byť</w:t>
      </w:r>
      <w:r w:rsidRPr="00C03D45">
        <w:rPr>
          <w:rFonts w:ascii="Arial Narrow" w:hAnsi="Arial Narrow"/>
        </w:rPr>
        <w:t xml:space="preserve"> potrebné realizovať formou nákupu stavieb. Hodnota by však nemala presiahnuť 50</w:t>
      </w:r>
      <w:r w:rsidR="00514D18">
        <w:rPr>
          <w:rFonts w:ascii="Arial Narrow" w:hAnsi="Arial Narrow"/>
        </w:rPr>
        <w:t xml:space="preserve"> </w:t>
      </w:r>
      <w:r w:rsidRPr="00C03D45">
        <w:rPr>
          <w:rFonts w:ascii="Arial Narrow" w:hAnsi="Arial Narrow"/>
        </w:rPr>
        <w:t xml:space="preserve">% z celkových </w:t>
      </w:r>
      <w:r w:rsidR="00CB7535">
        <w:rPr>
          <w:rFonts w:ascii="Arial Narrow" w:hAnsi="Arial Narrow"/>
        </w:rPr>
        <w:t>oprávnených výdavkov</w:t>
      </w:r>
      <w:r w:rsidRPr="00C03D45">
        <w:rPr>
          <w:rFonts w:ascii="Arial Narrow" w:hAnsi="Arial Narrow"/>
        </w:rPr>
        <w:t xml:space="preserve"> projektu. Čo sa týka špecifického cieľa 7.8 Racionalizácia prevádzky informačných systémov pomocou eGovernment cloudu, výdavky na stavby spĺňajúce podmienky úrovne Tier III sú oprávnené v plnom rozsahu, keďže takáto stavba môže bez ďalších potrebných úprav slúžiť ako dátové centrum a poskytovateľ vládnych cloudových služieb. Pre stavby, ktoré nespĺňajú podmienky pre úroveň Tier III sú nevyhnutné ďalšie náklady na splnenie týchto podmienok. Preto takéto projekty </w:t>
      </w:r>
      <w:r w:rsidR="00FE6847" w:rsidRPr="00C03D45">
        <w:rPr>
          <w:rFonts w:ascii="Arial Narrow" w:hAnsi="Arial Narrow"/>
        </w:rPr>
        <w:t>musia realizovať aj stavebné práce. Na základe expertných odhadov a rozdielov v prevádzkových nákladoch dátových centier úrovne Tier II a Tier II</w:t>
      </w:r>
      <w:r w:rsidR="000269DB" w:rsidRPr="00C03D45">
        <w:rPr>
          <w:rFonts w:ascii="Arial Narrow" w:hAnsi="Arial Narrow"/>
        </w:rPr>
        <w:t>I</w:t>
      </w:r>
      <w:r w:rsidR="00FE6847" w:rsidRPr="00C03D45">
        <w:rPr>
          <w:rFonts w:ascii="Arial Narrow" w:hAnsi="Arial Narrow"/>
        </w:rPr>
        <w:t xml:space="preserve"> sa výdavky na takéto úpravy odhadujú na 30</w:t>
      </w:r>
      <w:r w:rsidR="00514D18">
        <w:rPr>
          <w:rFonts w:ascii="Arial Narrow" w:hAnsi="Arial Narrow"/>
        </w:rPr>
        <w:t xml:space="preserve"> </w:t>
      </w:r>
      <w:r w:rsidR="00FE6847" w:rsidRPr="00C03D45">
        <w:rPr>
          <w:rFonts w:ascii="Arial Narrow" w:hAnsi="Arial Narrow"/>
        </w:rPr>
        <w:t>%</w:t>
      </w:r>
      <w:r w:rsidR="00FE6847" w:rsidRPr="00C03D45">
        <w:rPr>
          <w:rStyle w:val="Odkaznapoznmkupodiarou"/>
          <w:rFonts w:ascii="Arial Narrow" w:hAnsi="Arial Narrow"/>
        </w:rPr>
        <w:footnoteReference w:id="10"/>
      </w:r>
      <w:r w:rsidR="00FE6847" w:rsidRPr="00C03D45">
        <w:rPr>
          <w:rFonts w:ascii="Arial Narrow" w:hAnsi="Arial Narrow"/>
        </w:rPr>
        <w:t>.</w:t>
      </w:r>
    </w:p>
    <w:p w14:paraId="53A772E1" w14:textId="77777777" w:rsidR="007F095B" w:rsidRPr="00C03D45" w:rsidRDefault="007F095B" w:rsidP="009A026A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547"/>
        <w:gridCol w:w="3827"/>
        <w:gridCol w:w="2693"/>
      </w:tblGrid>
      <w:tr w:rsidR="009C6F93" w:rsidRPr="00C03D45" w14:paraId="63AE26DA" w14:textId="77777777" w:rsidTr="009A026A">
        <w:tc>
          <w:tcPr>
            <w:tcW w:w="9067" w:type="dxa"/>
            <w:gridSpan w:val="3"/>
            <w:shd w:val="clear" w:color="auto" w:fill="D9D9D9" w:themeFill="background1" w:themeFillShade="D9"/>
          </w:tcPr>
          <w:p w14:paraId="2C1CB08F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Limity na stavebné práce</w:t>
            </w:r>
          </w:p>
        </w:tc>
      </w:tr>
      <w:tr w:rsidR="009C6F93" w:rsidRPr="00C03D45" w14:paraId="0E43FF5F" w14:textId="77777777" w:rsidTr="009A026A">
        <w:tc>
          <w:tcPr>
            <w:tcW w:w="2547" w:type="dxa"/>
            <w:shd w:val="clear" w:color="auto" w:fill="D9D9D9" w:themeFill="background1" w:themeFillShade="D9"/>
          </w:tcPr>
          <w:p w14:paraId="2B156F49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Špecifický cieľ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705B012F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Podmienka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E4954B8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/>
                <w:b/>
              </w:rPr>
              <w:t>Limit na stavebné práce</w:t>
            </w:r>
          </w:p>
        </w:tc>
      </w:tr>
      <w:tr w:rsidR="009C6F93" w:rsidRPr="00C03D45" w14:paraId="07736B19" w14:textId="77777777" w:rsidTr="009A026A">
        <w:tc>
          <w:tcPr>
            <w:tcW w:w="2547" w:type="dxa"/>
          </w:tcPr>
          <w:p w14:paraId="61A8A1F9" w14:textId="46A712B2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7.1 Zvýšenie pokrytia širokopásmovým internetom/NGN</w:t>
            </w:r>
          </w:p>
        </w:tc>
        <w:tc>
          <w:tcPr>
            <w:tcW w:w="3827" w:type="dxa"/>
          </w:tcPr>
          <w:p w14:paraId="1D5AABB8" w14:textId="6C9D6433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Stavebné práce sú nevyhnutné pre splnenie cieľa 100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pokrytia SR širokopásmovým pripojením s rýchlosťou minimálne 30 Mbit/s</w:t>
            </w:r>
          </w:p>
        </w:tc>
        <w:tc>
          <w:tcPr>
            <w:tcW w:w="2693" w:type="dxa"/>
          </w:tcPr>
          <w:p w14:paraId="3A7A78A7" w14:textId="2E9D0F66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100 %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</w:p>
        </w:tc>
      </w:tr>
      <w:tr w:rsidR="009C6F93" w:rsidRPr="00C03D45" w14:paraId="09E52786" w14:textId="77777777" w:rsidTr="009A026A">
        <w:tc>
          <w:tcPr>
            <w:tcW w:w="2547" w:type="dxa"/>
          </w:tcPr>
          <w:p w14:paraId="71E05C0C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7.8 Racionalizácia prevádzky informačných systémov pomocou eGovernment cloudu</w:t>
            </w:r>
          </w:p>
        </w:tc>
        <w:tc>
          <w:tcPr>
            <w:tcW w:w="3827" w:type="dxa"/>
          </w:tcPr>
          <w:p w14:paraId="47381A84" w14:textId="12851500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Stavba spĺňa podmienky minimálne pre úroveň Tier III podľa metodiky The Uptime Institute pre dátové centrá a sú potrebné menšie dodatočné úpravy pre potreby projektu</w:t>
            </w:r>
          </w:p>
        </w:tc>
        <w:tc>
          <w:tcPr>
            <w:tcW w:w="2693" w:type="dxa"/>
          </w:tcPr>
          <w:p w14:paraId="4E5E11FE" w14:textId="1435B168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10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</w:p>
        </w:tc>
      </w:tr>
      <w:tr w:rsidR="009C6F93" w:rsidRPr="00C03D45" w14:paraId="459CE35D" w14:textId="77777777" w:rsidTr="009A026A">
        <w:tc>
          <w:tcPr>
            <w:tcW w:w="2547" w:type="dxa"/>
          </w:tcPr>
          <w:p w14:paraId="372A08E3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7.8 Racionalizácia prevádzky informačných systémov pomocou eGovernment cloudu</w:t>
            </w:r>
          </w:p>
        </w:tc>
        <w:tc>
          <w:tcPr>
            <w:tcW w:w="3827" w:type="dxa"/>
          </w:tcPr>
          <w:p w14:paraId="62A3B1B2" w14:textId="16836EC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Stavba nespĺňa podmienky minimálne pre úroveň Tier III podľa metodiky The Uptime Institute pre dátové centrá</w:t>
            </w:r>
          </w:p>
          <w:p w14:paraId="3CE4F393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Predmetom projektu je úprava s cieľom splniť podmienky minimálne pre úroveň Tier III</w:t>
            </w:r>
          </w:p>
        </w:tc>
        <w:tc>
          <w:tcPr>
            <w:tcW w:w="2693" w:type="dxa"/>
          </w:tcPr>
          <w:p w14:paraId="3661162F" w14:textId="7B1E862F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80</w:t>
            </w:r>
            <w:r w:rsidR="00514D18">
              <w:rPr>
                <w:rFonts w:ascii="Arial Narrow" w:hAnsi="Arial Narrow"/>
              </w:rPr>
              <w:t xml:space="preserve"> </w:t>
            </w:r>
            <w:r w:rsidRPr="00C03D45">
              <w:rPr>
                <w:rFonts w:ascii="Arial Narrow" w:hAnsi="Arial Narrow"/>
              </w:rPr>
              <w:t>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</w:p>
        </w:tc>
      </w:tr>
      <w:tr w:rsidR="009C6F93" w:rsidRPr="00C03D45" w14:paraId="7EBAC1F3" w14:textId="77777777" w:rsidTr="009A026A">
        <w:tc>
          <w:tcPr>
            <w:tcW w:w="2547" w:type="dxa"/>
          </w:tcPr>
          <w:p w14:paraId="2ECB3BE8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7.2, 7.3, 7.4, 7.5, 7.6, 7.7, 7.9</w:t>
            </w:r>
          </w:p>
        </w:tc>
        <w:tc>
          <w:tcPr>
            <w:tcW w:w="3827" w:type="dxa"/>
          </w:tcPr>
          <w:p w14:paraId="45C5F3F2" w14:textId="77777777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Stavebné práce sú nevyhnutné pre zabezpečenie cieľov projektu</w:t>
            </w:r>
          </w:p>
        </w:tc>
        <w:tc>
          <w:tcPr>
            <w:tcW w:w="2693" w:type="dxa"/>
          </w:tcPr>
          <w:p w14:paraId="562C5B63" w14:textId="11F08318" w:rsidR="009C6F93" w:rsidRPr="00C03D45" w:rsidRDefault="009C6F93" w:rsidP="009C6F93">
            <w:pPr>
              <w:spacing w:after="160" w:line="259" w:lineRule="auto"/>
              <w:rPr>
                <w:rFonts w:ascii="Arial Narrow" w:hAnsi="Arial Narrow"/>
              </w:rPr>
            </w:pPr>
            <w:r w:rsidRPr="00C03D45">
              <w:rPr>
                <w:rFonts w:ascii="Arial Narrow" w:hAnsi="Arial Narrow"/>
              </w:rPr>
              <w:t>5 % z</w:t>
            </w:r>
            <w:r w:rsidR="008D2F04">
              <w:rPr>
                <w:rFonts w:ascii="Arial Narrow" w:hAnsi="Arial Narrow"/>
              </w:rPr>
              <w:t xml:space="preserve"> celkových </w:t>
            </w:r>
            <w:r w:rsidRPr="00C03D45">
              <w:rPr>
                <w:rFonts w:ascii="Arial Narrow" w:hAnsi="Arial Narrow"/>
              </w:rPr>
              <w:t>oprávnených výdavkov</w:t>
            </w:r>
          </w:p>
        </w:tc>
      </w:tr>
    </w:tbl>
    <w:p w14:paraId="4D786033" w14:textId="76448DA4" w:rsidR="009C6F93" w:rsidRPr="00C03D45" w:rsidRDefault="001861AC" w:rsidP="000269DB">
      <w:pPr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>Vyššie uvedený limit pre špecifický cieľ 7.1 Zvýšenie pokrytia širokopásmovým internetom/NGN bol stanovený na základe predpokladaného charakteru veľkého projektu, ktorého prípravné práce (projektovo-inžinierska dokumentácia) sú realizované v rámci O</w:t>
      </w:r>
      <w:r w:rsidR="00784E7A">
        <w:rPr>
          <w:rFonts w:ascii="Arial Narrow" w:hAnsi="Arial Narrow"/>
        </w:rPr>
        <w:t>peračného programu Informatizácia spoločnosti (ďalej len „OPIS“).</w:t>
      </w:r>
      <w:r w:rsidRPr="00C03D45">
        <w:rPr>
          <w:rFonts w:ascii="Arial Narrow" w:hAnsi="Arial Narrow"/>
        </w:rPr>
        <w:t xml:space="preserve"> </w:t>
      </w:r>
    </w:p>
    <w:p w14:paraId="291D6904" w14:textId="0602F464" w:rsidR="001861AC" w:rsidRPr="00C03D45" w:rsidRDefault="001861AC" w:rsidP="000269DB">
      <w:pPr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>Limity pre špecifický cieľ 7.8 Racionalizácia prevádzky informačných systémov pomocou eGovernment cloudu</w:t>
      </w:r>
      <w:r w:rsidR="000269DB" w:rsidRPr="00C03D45">
        <w:rPr>
          <w:rFonts w:ascii="Arial Narrow" w:hAnsi="Arial Narrow"/>
        </w:rPr>
        <w:t xml:space="preserve"> boli stanovené expertným odhadom. V súlade s limitmi pre nákup stavby odrážajú limity pre stavebné práce úroveň v ak</w:t>
      </w:r>
      <w:r w:rsidR="00784E7A">
        <w:rPr>
          <w:rFonts w:ascii="Arial Narrow" w:hAnsi="Arial Narrow"/>
        </w:rPr>
        <w:t>ej</w:t>
      </w:r>
      <w:r w:rsidR="000269DB" w:rsidRPr="00C03D45">
        <w:rPr>
          <w:rFonts w:ascii="Arial Narrow" w:hAnsi="Arial Narrow"/>
        </w:rPr>
        <w:t xml:space="preserve"> sa kupovaná stavba nachádza v čase jej obstarania. V prípade stavieb spĺňajúcich podmienky úrovne Tier III sú možné len dodatočné stavebné úpravy v rozmedzí 0 – 10</w:t>
      </w:r>
      <w:r w:rsidR="00514D18">
        <w:rPr>
          <w:rFonts w:ascii="Arial Narrow" w:hAnsi="Arial Narrow"/>
        </w:rPr>
        <w:t xml:space="preserve"> </w:t>
      </w:r>
      <w:r w:rsidR="000269DB" w:rsidRPr="00C03D45">
        <w:rPr>
          <w:rFonts w:ascii="Arial Narrow" w:hAnsi="Arial Narrow"/>
        </w:rPr>
        <w:t>% celkových oprávnených výdavkov projektu. V prípade stavieb nespĺňajúcich tento limit by sa rozsah stavebných prác mal pohybovať v rozmedzí 30 – 80</w:t>
      </w:r>
      <w:r w:rsidR="00514D18">
        <w:rPr>
          <w:rFonts w:ascii="Arial Narrow" w:hAnsi="Arial Narrow"/>
        </w:rPr>
        <w:t xml:space="preserve"> </w:t>
      </w:r>
      <w:r w:rsidR="000269DB" w:rsidRPr="00C03D45">
        <w:rPr>
          <w:rFonts w:ascii="Arial Narrow" w:hAnsi="Arial Narrow"/>
        </w:rPr>
        <w:t xml:space="preserve">% v závislosti </w:t>
      </w:r>
      <w:r w:rsidR="00C46562" w:rsidRPr="00C03D45">
        <w:rPr>
          <w:rFonts w:ascii="Arial Narrow" w:hAnsi="Arial Narrow"/>
        </w:rPr>
        <w:t>od charakteru stavieb.</w:t>
      </w:r>
    </w:p>
    <w:p w14:paraId="32345D4A" w14:textId="4D52CA48" w:rsidR="00C46562" w:rsidRDefault="00C46562" w:rsidP="000269DB">
      <w:pPr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 xml:space="preserve">Limit pre ostatné </w:t>
      </w:r>
      <w:r w:rsidR="0033698F" w:rsidRPr="00C03D45">
        <w:rPr>
          <w:rFonts w:ascii="Arial Narrow" w:hAnsi="Arial Narrow"/>
        </w:rPr>
        <w:t>špecifické</w:t>
      </w:r>
      <w:r w:rsidR="00C36258" w:rsidRPr="00C03D45">
        <w:rPr>
          <w:rFonts w:ascii="Arial Narrow" w:hAnsi="Arial Narrow"/>
        </w:rPr>
        <w:t xml:space="preserve"> ciele je stanovený na 5</w:t>
      </w:r>
      <w:r w:rsidR="00514D18">
        <w:rPr>
          <w:rFonts w:ascii="Arial Narrow" w:hAnsi="Arial Narrow"/>
        </w:rPr>
        <w:t xml:space="preserve"> </w:t>
      </w:r>
      <w:r w:rsidR="00C36258" w:rsidRPr="00C03D45">
        <w:rPr>
          <w:rFonts w:ascii="Arial Narrow" w:hAnsi="Arial Narrow"/>
        </w:rPr>
        <w:t>% v nadväznosti na súčasné výdavky na stavebné práce. Stavebné práce v rámci špecifických cieľov iných ako 7.1 a 7.8 by mali byť realizované vo výnimočných prípadoch a po preukázaní skutočnej potreby pre projekt.</w:t>
      </w:r>
    </w:p>
    <w:p w14:paraId="7C270192" w14:textId="2918AEE8" w:rsidR="00391F61" w:rsidRDefault="00391F61" w:rsidP="000269DB">
      <w:pPr>
        <w:jc w:val="both"/>
        <w:rPr>
          <w:rFonts w:ascii="Arial Narrow" w:hAnsi="Arial Narrow"/>
        </w:rPr>
      </w:pPr>
    </w:p>
    <w:p w14:paraId="32FAC420" w14:textId="77777777" w:rsidR="00391F61" w:rsidRPr="00C03D45" w:rsidRDefault="00391F61" w:rsidP="000269DB">
      <w:pPr>
        <w:jc w:val="both"/>
        <w:rPr>
          <w:rFonts w:ascii="Arial Narrow" w:hAnsi="Arial Narrow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59704A" w:rsidRPr="00C03D45" w14:paraId="172238FE" w14:textId="77777777" w:rsidTr="007F6DB1">
        <w:tc>
          <w:tcPr>
            <w:tcW w:w="4390" w:type="dxa"/>
            <w:shd w:val="clear" w:color="auto" w:fill="D9D9D9" w:themeFill="background1" w:themeFillShade="D9"/>
          </w:tcPr>
          <w:p w14:paraId="3B4BD56F" w14:textId="620C2791" w:rsidR="0059704A" w:rsidRPr="00C03D45" w:rsidRDefault="0059704A" w:rsidP="0059704A">
            <w:pPr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 w:rsidRPr="00C03D45">
              <w:rPr>
                <w:rFonts w:ascii="Arial Narrow" w:hAnsi="Arial Narrow" w:cs="Arial"/>
                <w:b/>
              </w:rPr>
              <w:t>Bežné výdavky:</w:t>
            </w:r>
          </w:p>
          <w:p w14:paraId="05E0C2B1" w14:textId="4C3897B4" w:rsidR="0059704A" w:rsidRPr="00C03D45" w:rsidRDefault="0059704A" w:rsidP="0059704A">
            <w:pPr>
              <w:spacing w:before="120" w:after="120"/>
              <w:jc w:val="both"/>
            </w:pPr>
            <w:r w:rsidRPr="00C03D45">
              <w:rPr>
                <w:rFonts w:ascii="Arial Narrow" w:hAnsi="Arial Narrow" w:cs="Arial"/>
              </w:rPr>
              <w:t>- na obstaranie majetku; okrem majetku, ktorý výlučne používa odborný personál a osoby cieľovej skupiny (napr. prenájom kancelárií, bežného zariadenia kancelárie (stôl, stoličky, skrinky, výpočtová technika a pod.)</w:t>
            </w:r>
          </w:p>
        </w:tc>
        <w:tc>
          <w:tcPr>
            <w:tcW w:w="4677" w:type="dxa"/>
          </w:tcPr>
          <w:p w14:paraId="3EB81C90" w14:textId="7A400D56" w:rsidR="0059704A" w:rsidRPr="00C03D45" w:rsidRDefault="0059704A" w:rsidP="00555220">
            <w:pPr>
              <w:jc w:val="both"/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Maximálne 1</w:t>
            </w:r>
            <w:r w:rsidR="00514D18">
              <w:rPr>
                <w:rFonts w:ascii="Arial Narrow" w:hAnsi="Arial Narrow" w:cs="Arial"/>
              </w:rPr>
              <w:t xml:space="preserve"> </w:t>
            </w:r>
            <w:r w:rsidRPr="00C03D45">
              <w:rPr>
                <w:rFonts w:ascii="Arial Narrow" w:hAnsi="Arial Narrow" w:cs="Arial"/>
              </w:rPr>
              <w:t>% z</w:t>
            </w:r>
            <w:r w:rsidR="0033698F">
              <w:rPr>
                <w:rFonts w:ascii="Arial Narrow" w:hAnsi="Arial Narrow" w:cs="Arial"/>
              </w:rPr>
              <w:t xml:space="preserve"> celkových </w:t>
            </w:r>
            <w:r w:rsidR="00F718C7" w:rsidRPr="00C03D45">
              <w:rPr>
                <w:rFonts w:ascii="Arial Narrow" w:hAnsi="Arial Narrow" w:cs="Arial"/>
              </w:rPr>
              <w:t>oprávnených výdavkov</w:t>
            </w:r>
            <w:r w:rsidRPr="00C03D45">
              <w:rPr>
                <w:rFonts w:ascii="Arial Narrow" w:hAnsi="Arial Narrow" w:cs="Arial"/>
              </w:rPr>
              <w:t>.</w:t>
            </w:r>
          </w:p>
          <w:p w14:paraId="6A7C61E0" w14:textId="2D9367BD" w:rsidR="0059704A" w:rsidRPr="00C03D45" w:rsidRDefault="0059704A" w:rsidP="0059704A">
            <w:pPr>
              <w:spacing w:after="120"/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 xml:space="preserve">(s tým, že maximálna výška nepriamych výdavkov je </w:t>
            </w:r>
            <w:r w:rsidR="00F90910">
              <w:rPr>
                <w:rFonts w:ascii="Arial Narrow" w:hAnsi="Arial Narrow" w:cs="Arial"/>
              </w:rPr>
              <w:br/>
            </w:r>
            <w:r w:rsidRPr="00C03D45">
              <w:rPr>
                <w:rFonts w:ascii="Arial Narrow" w:hAnsi="Arial Narrow" w:cs="Arial"/>
              </w:rPr>
              <w:t>7</w:t>
            </w:r>
            <w:r w:rsidR="00F90910">
              <w:rPr>
                <w:rFonts w:ascii="Arial Narrow" w:hAnsi="Arial Narrow" w:cs="Arial"/>
              </w:rPr>
              <w:t xml:space="preserve"> </w:t>
            </w:r>
            <w:r w:rsidRPr="00C03D45">
              <w:rPr>
                <w:rFonts w:ascii="Arial Narrow" w:hAnsi="Arial Narrow" w:cs="Arial"/>
              </w:rPr>
              <w:t>% z</w:t>
            </w:r>
            <w:r w:rsidR="0033698F">
              <w:rPr>
                <w:rFonts w:ascii="Arial Narrow" w:hAnsi="Arial Narrow" w:cs="Arial"/>
              </w:rPr>
              <w:t> celkových oprávnených výdavkov</w:t>
            </w:r>
            <w:r w:rsidRPr="00C03D45">
              <w:rPr>
                <w:rFonts w:ascii="Arial Narrow" w:hAnsi="Arial Narrow" w:cs="Arial"/>
              </w:rPr>
              <w:t>)</w:t>
            </w:r>
            <w:r w:rsidR="002F5B3E">
              <w:rPr>
                <w:rStyle w:val="Odkaznapoznmkupodiarou"/>
                <w:rFonts w:ascii="Arial Narrow" w:hAnsi="Arial Narrow"/>
              </w:rPr>
              <w:footnoteReference w:id="11"/>
            </w:r>
            <w:r w:rsidRPr="00C03D45">
              <w:rPr>
                <w:rFonts w:ascii="Arial Narrow" w:hAnsi="Arial Narrow" w:cs="Arial"/>
              </w:rPr>
              <w:t>.</w:t>
            </w:r>
          </w:p>
          <w:p w14:paraId="49EF1C72" w14:textId="20229A0B" w:rsidR="0059704A" w:rsidRPr="00C03D45" w:rsidRDefault="0059704A" w:rsidP="00555220">
            <w:pPr>
              <w:jc w:val="both"/>
              <w:rPr>
                <w:rFonts w:ascii="Arial Narrow" w:hAnsi="Arial Narrow" w:cs="Arial"/>
              </w:rPr>
            </w:pPr>
          </w:p>
          <w:p w14:paraId="75232477" w14:textId="77777777" w:rsidR="0059704A" w:rsidRPr="00C03D45" w:rsidRDefault="0059704A" w:rsidP="00555220">
            <w:pPr>
              <w:jc w:val="both"/>
              <w:rPr>
                <w:rFonts w:ascii="Arial Narrow" w:hAnsi="Arial Narrow" w:cs="Arial"/>
              </w:rPr>
            </w:pPr>
          </w:p>
          <w:p w14:paraId="1A99BE32" w14:textId="6FF42FC2" w:rsidR="0059704A" w:rsidRPr="00C03D45" w:rsidRDefault="0059704A" w:rsidP="0059704A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6A9385BC" w14:textId="6EDA16F3" w:rsidR="00AA253C" w:rsidRPr="00C03D45" w:rsidRDefault="00C03D45" w:rsidP="00AA253C">
      <w:pPr>
        <w:rPr>
          <w:rFonts w:ascii="Arial Narrow" w:hAnsi="Arial Narrow"/>
        </w:rPr>
      </w:pPr>
      <w:r>
        <w:rPr>
          <w:rFonts w:ascii="Arial Narrow" w:hAnsi="Arial Narrow"/>
        </w:rPr>
        <w:t>Limity boli stanovené na základe analýzy výdavkov v rámci OPIS (OLAP analytické výstupy ITMS)</w:t>
      </w:r>
      <w:r w:rsidR="002F5B3E">
        <w:rPr>
          <w:rFonts w:ascii="Arial Narrow" w:hAnsi="Arial Narrow"/>
        </w:rPr>
        <w:t>.</w:t>
      </w:r>
    </w:p>
    <w:tbl>
      <w:tblPr>
        <w:tblStyle w:val="Mriekatabuky"/>
        <w:tblW w:w="906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091"/>
        <w:gridCol w:w="2976"/>
      </w:tblGrid>
      <w:tr w:rsidR="00C03D45" w:rsidRPr="00C03D45" w14:paraId="29C6C94F" w14:textId="77777777" w:rsidTr="00D6114D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6454077" w14:textId="66BCF933" w:rsidR="0008214F" w:rsidRPr="00C03D45" w:rsidRDefault="0008214F" w:rsidP="001D2FB1">
            <w:pPr>
              <w:rPr>
                <w:rFonts w:ascii="Arial Narrow" w:hAnsi="Arial Narrow"/>
                <w:b/>
              </w:rPr>
            </w:pPr>
            <w:r w:rsidRPr="00C03D45">
              <w:rPr>
                <w:rFonts w:ascii="Arial Narrow" w:hAnsi="Arial Narrow" w:cs="Arial"/>
                <w:b/>
              </w:rPr>
              <w:t xml:space="preserve">Ostatné výdavky </w:t>
            </w:r>
          </w:p>
        </w:tc>
      </w:tr>
      <w:tr w:rsidR="00C03D45" w:rsidRPr="00C03D45" w14:paraId="776E10C1" w14:textId="77777777" w:rsidTr="00D6114D">
        <w:tblPrEx>
          <w:shd w:val="clear" w:color="auto" w:fill="auto"/>
        </w:tblPrEx>
        <w:tc>
          <w:tcPr>
            <w:tcW w:w="6091" w:type="dxa"/>
            <w:shd w:val="clear" w:color="auto" w:fill="D9D9D9" w:themeFill="background1" w:themeFillShade="D9"/>
          </w:tcPr>
          <w:p w14:paraId="4A259864" w14:textId="18ED8928" w:rsidR="0008214F" w:rsidRPr="00C03D45" w:rsidRDefault="0008214F" w:rsidP="0008214F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Činnosť: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F54131D" w14:textId="77777777" w:rsidR="0008214F" w:rsidRPr="00C03D45" w:rsidRDefault="0008214F" w:rsidP="0008214F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Maximálna cena za 1 človekodeň</w:t>
            </w:r>
          </w:p>
        </w:tc>
      </w:tr>
      <w:tr w:rsidR="00C03D45" w:rsidRPr="00C03D45" w14:paraId="3560083A" w14:textId="77777777" w:rsidTr="00D6114D">
        <w:tblPrEx>
          <w:shd w:val="clear" w:color="auto" w:fill="auto"/>
        </w:tblPrEx>
        <w:tc>
          <w:tcPr>
            <w:tcW w:w="6091" w:type="dxa"/>
          </w:tcPr>
          <w:p w14:paraId="3D725088" w14:textId="60D50210" w:rsidR="0008214F" w:rsidRPr="00C03D45" w:rsidRDefault="0008214F" w:rsidP="00137DDA">
            <w:pPr>
              <w:jc w:val="both"/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 xml:space="preserve">výdavky súvisiace s publicitou a informovanosťou spojenou s realizáciou projektu, napr. propagačné predmety a letáky, tlačové konferencie o projekte (vrátane občerstvenia, prenájmu priestorov a pod.), publikovaním článkov o projekte, televíznych a rozhlasových relácií a pod.;  </w:t>
            </w:r>
          </w:p>
        </w:tc>
        <w:tc>
          <w:tcPr>
            <w:tcW w:w="2976" w:type="dxa"/>
          </w:tcPr>
          <w:p w14:paraId="658834D7" w14:textId="46BAE594" w:rsidR="0008214F" w:rsidRPr="00C03D45" w:rsidRDefault="0008214F" w:rsidP="00555220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Maximálne do výšky 3</w:t>
            </w:r>
            <w:r w:rsidR="00F90910">
              <w:rPr>
                <w:rFonts w:ascii="Arial Narrow" w:hAnsi="Arial Narrow" w:cs="Arial"/>
              </w:rPr>
              <w:t xml:space="preserve"> </w:t>
            </w:r>
            <w:r w:rsidRPr="00C03D45">
              <w:rPr>
                <w:rFonts w:ascii="Arial Narrow" w:hAnsi="Arial Narrow" w:cs="Arial"/>
              </w:rPr>
              <w:t>% ostatných výdavkov</w:t>
            </w:r>
          </w:p>
        </w:tc>
      </w:tr>
    </w:tbl>
    <w:p w14:paraId="1DDECD0A" w14:textId="29EAB6B6" w:rsidR="00C03D45" w:rsidRPr="00C03D45" w:rsidRDefault="00C03D45" w:rsidP="00C03D45">
      <w:pPr>
        <w:rPr>
          <w:rFonts w:ascii="Arial Narrow" w:hAnsi="Arial Narrow"/>
        </w:rPr>
      </w:pPr>
      <w:r>
        <w:rPr>
          <w:rFonts w:ascii="Arial Narrow" w:hAnsi="Arial Narrow"/>
        </w:rPr>
        <w:t>Limity boli stanovené na základe analýzy výdavkov v rámci OPIS (OLAP analytické výstupy ITMS)</w:t>
      </w:r>
      <w:r w:rsidR="002F5B3E">
        <w:rPr>
          <w:rFonts w:ascii="Arial Narrow" w:hAnsi="Arial Narrow"/>
        </w:rPr>
        <w:t>.</w:t>
      </w:r>
    </w:p>
    <w:p w14:paraId="14F1A4BE" w14:textId="1B6C426E" w:rsidR="006D758C" w:rsidRPr="00C03D45" w:rsidRDefault="006D758C" w:rsidP="008F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C03D45">
        <w:rPr>
          <w:rFonts w:ascii="Arial Narrow" w:eastAsia="Times New Roman" w:hAnsi="Arial Narrow" w:cs="Times New Roman"/>
          <w:b/>
          <w:lang w:eastAsia="sk-SK"/>
        </w:rPr>
        <w:t>Percentuálne limity sú ďalším z pomocných nástrojov</w:t>
      </w:r>
      <w:r w:rsidR="002E52E3">
        <w:rPr>
          <w:rFonts w:ascii="Arial Narrow" w:eastAsia="Times New Roman" w:hAnsi="Arial Narrow" w:cs="Times New Roman"/>
          <w:b/>
          <w:lang w:eastAsia="sk-SK"/>
        </w:rPr>
        <w:t xml:space="preserve"> pri overovaní hospodárnosti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, ktoré sa 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>môžu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využívať pri </w:t>
      </w:r>
      <w:r w:rsidR="00F441C5" w:rsidRPr="00C03D45">
        <w:rPr>
          <w:rFonts w:ascii="Arial Narrow" w:eastAsia="Times New Roman" w:hAnsi="Arial Narrow" w:cs="Times New Roman"/>
          <w:b/>
          <w:lang w:eastAsia="sk-SK"/>
        </w:rPr>
        <w:t xml:space="preserve">špecifických výdavkoch v rámci </w:t>
      </w:r>
      <w:r w:rsidRPr="00C03D45">
        <w:rPr>
          <w:rFonts w:ascii="Arial Narrow" w:eastAsia="Times New Roman" w:hAnsi="Arial Narrow" w:cs="Times New Roman"/>
          <w:b/>
          <w:lang w:eastAsia="sk-SK"/>
        </w:rPr>
        <w:t>projektov PO7 OPII. Základné percentuálne limity sú definované v </w:t>
      </w:r>
      <w:r w:rsidR="00BE4F10" w:rsidRPr="00C03D45">
        <w:rPr>
          <w:rFonts w:ascii="Arial Narrow" w:eastAsia="Times New Roman" w:hAnsi="Arial Narrow" w:cs="Times New Roman"/>
          <w:b/>
          <w:lang w:eastAsia="sk-SK"/>
        </w:rPr>
        <w:t>P</w:t>
      </w:r>
      <w:r w:rsidRPr="00C03D45">
        <w:rPr>
          <w:rFonts w:ascii="Arial Narrow" w:eastAsia="Times New Roman" w:hAnsi="Arial Narrow" w:cs="Times New Roman"/>
          <w:b/>
          <w:lang w:eastAsia="sk-SK"/>
        </w:rPr>
        <w:t>ríručke oprávnenosti výdavkov PO7 OPII, ktorá je prílohou Príručky pre žiadateľa</w:t>
      </w:r>
      <w:r w:rsidR="00B277B7" w:rsidRPr="00C03D45">
        <w:rPr>
          <w:rFonts w:ascii="Arial Narrow" w:eastAsia="Times New Roman" w:hAnsi="Arial Narrow" w:cs="Times New Roman"/>
          <w:b/>
          <w:lang w:eastAsia="sk-SK"/>
        </w:rPr>
        <w:t xml:space="preserve"> OPII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pre</w:t>
      </w:r>
      <w:r w:rsidR="00B277B7" w:rsidRPr="00C03D45">
        <w:rPr>
          <w:rFonts w:ascii="Arial Narrow" w:eastAsia="Times New Roman" w:hAnsi="Arial Narrow" w:cs="Times New Roman"/>
          <w:b/>
          <w:lang w:eastAsia="sk-SK"/>
        </w:rPr>
        <w:t xml:space="preserve"> PO7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Informačná spoločnosť</w:t>
      </w:r>
      <w:r w:rsidR="00AB70D5" w:rsidRPr="00C03D45">
        <w:rPr>
          <w:rStyle w:val="Odkaznapoznmkupodiarou"/>
          <w:rFonts w:ascii="Arial Narrow" w:eastAsia="Times New Roman" w:hAnsi="Arial Narrow"/>
          <w:b/>
          <w:lang w:eastAsia="sk-SK"/>
        </w:rPr>
        <w:footnoteReference w:id="12"/>
      </w:r>
      <w:r w:rsidR="00B277B7" w:rsidRPr="00C03D45">
        <w:rPr>
          <w:rFonts w:ascii="Arial Narrow" w:eastAsia="Times New Roman" w:hAnsi="Arial Narrow" w:cs="Times New Roman"/>
          <w:b/>
          <w:lang w:eastAsia="sk-SK"/>
        </w:rPr>
        <w:t>.</w:t>
      </w:r>
    </w:p>
    <w:p w14:paraId="616DE424" w14:textId="7529BB1E" w:rsidR="00194F1D" w:rsidRPr="00C03D45" w:rsidRDefault="007C10AC" w:rsidP="00204C6C">
      <w:pPr>
        <w:pStyle w:val="Ob3"/>
        <w:spacing w:before="120"/>
        <w:ind w:left="425" w:hanging="425"/>
      </w:pPr>
      <w:bookmarkStart w:id="18" w:name="_Toc48031516"/>
      <w:r w:rsidRPr="00C03D45">
        <w:t>3</w:t>
      </w:r>
      <w:r w:rsidR="00780397" w:rsidRPr="00C03D45">
        <w:t>.5</w:t>
      </w:r>
      <w:r w:rsidRPr="00C03D45">
        <w:tab/>
      </w:r>
      <w:r w:rsidR="00194F1D" w:rsidRPr="00C03D45">
        <w:t>Finančné limity</w:t>
      </w:r>
      <w:bookmarkEnd w:id="18"/>
    </w:p>
    <w:p w14:paraId="67076058" w14:textId="1DC4FF50" w:rsidR="00194F1D" w:rsidRPr="00C03D45" w:rsidRDefault="00194F1D" w:rsidP="00194F1D">
      <w:pPr>
        <w:pStyle w:val="SRKNorm"/>
        <w:numPr>
          <w:ilvl w:val="0"/>
          <w:numId w:val="0"/>
        </w:numPr>
        <w:spacing w:before="120" w:after="120"/>
        <w:contextualSpacing w:val="0"/>
        <w:rPr>
          <w:rFonts w:ascii="Arial Narrow" w:hAnsi="Arial Narrow"/>
          <w:sz w:val="22"/>
          <w:szCs w:val="22"/>
        </w:rPr>
      </w:pPr>
      <w:r w:rsidRPr="00C03D45">
        <w:rPr>
          <w:rFonts w:ascii="Arial Narrow" w:hAnsi="Arial Narrow"/>
          <w:sz w:val="22"/>
          <w:szCs w:val="22"/>
        </w:rPr>
        <w:t>Ďalším z</w:t>
      </w:r>
      <w:r w:rsidR="007C4445" w:rsidRPr="00C03D45">
        <w:rPr>
          <w:rFonts w:ascii="Arial Narrow" w:hAnsi="Arial Narrow"/>
          <w:sz w:val="22"/>
          <w:szCs w:val="22"/>
        </w:rPr>
        <w:t xml:space="preserve"> pomocných</w:t>
      </w:r>
      <w:r w:rsidRPr="00C03D45">
        <w:rPr>
          <w:rFonts w:ascii="Arial Narrow" w:hAnsi="Arial Narrow"/>
          <w:sz w:val="22"/>
          <w:szCs w:val="22"/>
        </w:rPr>
        <w:t> nástrojov na zabezpečenie hospodárnosti výdavkov proj</w:t>
      </w:r>
      <w:r w:rsidR="001C7104" w:rsidRPr="00C03D45">
        <w:rPr>
          <w:rFonts w:ascii="Arial Narrow" w:hAnsi="Arial Narrow"/>
          <w:sz w:val="22"/>
          <w:szCs w:val="22"/>
        </w:rPr>
        <w:t>ektov PO7 OPII</w:t>
      </w:r>
      <w:r w:rsidRPr="00C03D45">
        <w:rPr>
          <w:rFonts w:ascii="Arial Narrow" w:hAnsi="Arial Narrow"/>
          <w:sz w:val="22"/>
          <w:szCs w:val="22"/>
        </w:rPr>
        <w:t xml:space="preserve"> sú finančné limity na jednotkové výdavky</w:t>
      </w:r>
      <w:r w:rsidRPr="00C03D45">
        <w:rPr>
          <w:rStyle w:val="Odkaznapoznmkupodiarou"/>
          <w:rFonts w:ascii="Arial Narrow" w:hAnsi="Arial Narrow"/>
          <w:sz w:val="22"/>
          <w:szCs w:val="22"/>
        </w:rPr>
        <w:footnoteReference w:id="13"/>
      </w:r>
      <w:r w:rsidRPr="00C03D45">
        <w:rPr>
          <w:rFonts w:ascii="Arial Narrow" w:hAnsi="Arial Narrow"/>
          <w:sz w:val="22"/>
          <w:szCs w:val="22"/>
        </w:rPr>
        <w:t xml:space="preserve"> (ďalej aj „finančné limity“). Výhodou tohto </w:t>
      </w:r>
      <w:r w:rsidR="006648B9">
        <w:rPr>
          <w:rFonts w:ascii="Arial Narrow" w:hAnsi="Arial Narrow"/>
          <w:sz w:val="22"/>
          <w:szCs w:val="22"/>
        </w:rPr>
        <w:t xml:space="preserve">postupu </w:t>
      </w:r>
      <w:r w:rsidRPr="00C03D45">
        <w:rPr>
          <w:rFonts w:ascii="Arial Narrow" w:hAnsi="Arial Narrow"/>
          <w:sz w:val="22"/>
          <w:szCs w:val="22"/>
        </w:rPr>
        <w:t xml:space="preserve">je prehľadnosť a jednoznačnosť pravidiel pre žiadateľa a možnosť identifikovania nehospodárnych výdavkov už v procese schvaľovania </w:t>
      </w:r>
      <w:r w:rsidR="006D48C3" w:rsidRPr="00C03D45">
        <w:rPr>
          <w:rFonts w:ascii="Arial Narrow" w:hAnsi="Arial Narrow"/>
          <w:sz w:val="22"/>
          <w:szCs w:val="22"/>
        </w:rPr>
        <w:t>ŽoNFP</w:t>
      </w:r>
      <w:r w:rsidRPr="00C03D45">
        <w:rPr>
          <w:rFonts w:ascii="Arial Narrow" w:hAnsi="Arial Narrow"/>
          <w:sz w:val="22"/>
          <w:szCs w:val="22"/>
        </w:rPr>
        <w:t>.</w:t>
      </w:r>
    </w:p>
    <w:p w14:paraId="21080B87" w14:textId="7937A62D" w:rsidR="00194F1D" w:rsidRPr="00C03D45" w:rsidRDefault="00194F1D" w:rsidP="00194F1D">
      <w:pPr>
        <w:pStyle w:val="SRKNorm"/>
        <w:numPr>
          <w:ilvl w:val="0"/>
          <w:numId w:val="0"/>
        </w:numPr>
        <w:spacing w:before="120" w:after="120"/>
        <w:contextualSpacing w:val="0"/>
        <w:rPr>
          <w:rFonts w:ascii="Arial Narrow" w:hAnsi="Arial Narrow"/>
          <w:sz w:val="22"/>
          <w:szCs w:val="22"/>
        </w:rPr>
      </w:pPr>
      <w:r w:rsidRPr="00C03D45">
        <w:rPr>
          <w:rFonts w:ascii="Arial Narrow" w:hAnsi="Arial Narrow"/>
          <w:sz w:val="22"/>
          <w:szCs w:val="22"/>
        </w:rPr>
        <w:t>Finančné limity predstavujú účinný</w:t>
      </w:r>
      <w:r w:rsidR="007C4445" w:rsidRPr="00C03D45">
        <w:rPr>
          <w:rFonts w:ascii="Arial Narrow" w:hAnsi="Arial Narrow"/>
          <w:sz w:val="22"/>
          <w:szCs w:val="22"/>
        </w:rPr>
        <w:t xml:space="preserve"> pomocný</w:t>
      </w:r>
      <w:r w:rsidRPr="00C03D45">
        <w:rPr>
          <w:rFonts w:ascii="Arial Narrow" w:hAnsi="Arial Narrow"/>
          <w:sz w:val="22"/>
          <w:szCs w:val="22"/>
        </w:rPr>
        <w:t xml:space="preserve"> nástroj na zabezpečenie hospodárnosti najmä pre štandardné (homogénne) typy výdavkov, ktoré sa v rámci implementovaných projektov pravidelne vyskytujú. </w:t>
      </w:r>
    </w:p>
    <w:p w14:paraId="1D0B396A" w14:textId="2BB7760A" w:rsidR="007F095B" w:rsidRPr="00C03D45" w:rsidRDefault="00593125" w:rsidP="001C5B9C">
      <w:pPr>
        <w:pStyle w:val="SRKNorm"/>
        <w:numPr>
          <w:ilvl w:val="0"/>
          <w:numId w:val="0"/>
        </w:numPr>
        <w:spacing w:before="120" w:after="120"/>
        <w:contextualSpacing w:val="0"/>
      </w:pPr>
      <w:r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Finančné</w:t>
      </w:r>
      <w:r w:rsidR="008E248D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limity sú vždy špecifikované v riadiacej dokumentácii, na ktorú </w:t>
      </w:r>
      <w:r w:rsidR="001B2C81">
        <w:rPr>
          <w:rFonts w:ascii="Arial Narrow" w:eastAsiaTheme="minorHAnsi" w:hAnsi="Arial Narrow" w:cstheme="minorBidi"/>
          <w:sz w:val="22"/>
          <w:szCs w:val="22"/>
          <w:lang w:eastAsia="en-US"/>
        </w:rPr>
        <w:t>výzva/</w:t>
      </w:r>
      <w:r w:rsidR="008E248D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vyzvanie odkazuje. </w:t>
      </w:r>
      <w:r w:rsidR="00CE4104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SO v </w:t>
      </w:r>
      <w:r w:rsidR="0062663F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Príručke oprávnenosti výdavkov PO7 OPII </w:t>
      </w:r>
      <w:r w:rsidR="00CE4104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>stanovil</w:t>
      </w:r>
      <w:r w:rsidR="001734BE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obdobne ako pri percentuálnych limitoch aj maximálne finančné limity</w:t>
      </w:r>
      <w:r w:rsidR="00CE4104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jednotlivých skupín výdavkov na celkových oprávnených výdavkoch projektu v závislosti od špecifík jednotlivých projektov realizovaný</w:t>
      </w:r>
      <w:r w:rsidR="0062663F">
        <w:rPr>
          <w:rFonts w:ascii="Arial Narrow" w:eastAsiaTheme="minorHAnsi" w:hAnsi="Arial Narrow" w:cstheme="minorBidi"/>
          <w:sz w:val="22"/>
          <w:szCs w:val="22"/>
          <w:lang w:eastAsia="en-US"/>
        </w:rPr>
        <w:t>ch</w:t>
      </w:r>
      <w:r w:rsidR="00CE4104" w:rsidRPr="00C03D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v rámci PO7 OPII. </w:t>
      </w:r>
    </w:p>
    <w:p w14:paraId="7884F182" w14:textId="4318A32E" w:rsidR="00426613" w:rsidRPr="00C03D45" w:rsidRDefault="00426613" w:rsidP="00426613">
      <w:pPr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C03D45">
        <w:rPr>
          <w:rFonts w:ascii="Arial Narrow" w:hAnsi="Arial Narrow"/>
        </w:rPr>
        <w:t xml:space="preserve">V rámci </w:t>
      </w:r>
      <w:r w:rsidR="00E71211" w:rsidRPr="00C03D45">
        <w:rPr>
          <w:rFonts w:ascii="Arial Narrow" w:hAnsi="Arial Narrow"/>
        </w:rPr>
        <w:t>PO7</w:t>
      </w:r>
      <w:r w:rsidRPr="00C03D45">
        <w:rPr>
          <w:rFonts w:ascii="Arial Narrow" w:hAnsi="Arial Narrow"/>
        </w:rPr>
        <w:t xml:space="preserve"> OPII sa uplatňujú nasledovné finančné limity pre jednotlivé skupiny výdavkov</w:t>
      </w:r>
      <w:r w:rsidR="00AF66B1" w:rsidRPr="00C03D45">
        <w:rPr>
          <w:rFonts w:ascii="Arial Narrow" w:hAnsi="Arial Narrow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248"/>
        <w:gridCol w:w="4819"/>
      </w:tblGrid>
      <w:tr w:rsidR="00593125" w:rsidRPr="00C03D45" w14:paraId="3FDA227A" w14:textId="77777777" w:rsidTr="00593125">
        <w:tc>
          <w:tcPr>
            <w:tcW w:w="4248" w:type="dxa"/>
          </w:tcPr>
          <w:p w14:paraId="1F32097B" w14:textId="77777777" w:rsidR="00593125" w:rsidRPr="00C03D45" w:rsidRDefault="00593125" w:rsidP="00BE12B4">
            <w:pPr>
              <w:rPr>
                <w:rFonts w:ascii="Arial Narrow" w:eastAsia="Times New Roman" w:hAnsi="Arial Narrow" w:cs="Arial"/>
                <w:b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/>
                <w:bCs/>
                <w:lang w:eastAsia="sk-SK"/>
              </w:rPr>
              <w:t>Názov limitu</w:t>
            </w:r>
          </w:p>
        </w:tc>
        <w:tc>
          <w:tcPr>
            <w:tcW w:w="4819" w:type="dxa"/>
          </w:tcPr>
          <w:p w14:paraId="3C450B95" w14:textId="77777777" w:rsidR="00593125" w:rsidRPr="00C03D45" w:rsidRDefault="00593125" w:rsidP="00BE12B4">
            <w:pPr>
              <w:rPr>
                <w:rFonts w:ascii="Arial Narrow" w:eastAsia="Times New Roman" w:hAnsi="Arial Narrow" w:cs="Arial"/>
                <w:b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/>
                <w:bCs/>
                <w:lang w:eastAsia="sk-SK"/>
              </w:rPr>
              <w:t>Na základe čoho bol stanovený</w:t>
            </w:r>
          </w:p>
        </w:tc>
      </w:tr>
      <w:tr w:rsidR="00593125" w:rsidRPr="00C03D45" w14:paraId="03D49AA0" w14:textId="77777777" w:rsidTr="00593125">
        <w:tc>
          <w:tcPr>
            <w:tcW w:w="4248" w:type="dxa"/>
          </w:tcPr>
          <w:p w14:paraId="0EACB57B" w14:textId="77777777" w:rsidR="00593125" w:rsidRPr="00C03D45" w:rsidRDefault="00593125" w:rsidP="00426613">
            <w:pPr>
              <w:rPr>
                <w:rFonts w:ascii="Arial" w:hAnsi="Arial" w:cs="Arial"/>
              </w:rPr>
            </w:pPr>
            <w:r w:rsidRPr="00C03D45">
              <w:rPr>
                <w:rFonts w:ascii="Arial Narrow" w:hAnsi="Arial Narrow" w:cs="Arial"/>
              </w:rPr>
              <w:t>Limity na externé služby a vývoj/modernizáciu softvéru</w:t>
            </w:r>
            <w:r w:rsidRPr="00C03D45">
              <w:rPr>
                <w:rStyle w:val="Odkaznapoznmkupodiarou"/>
                <w:rFonts w:ascii="Arial" w:hAnsi="Arial"/>
              </w:rPr>
              <w:footnoteReference w:id="14"/>
            </w:r>
          </w:p>
          <w:p w14:paraId="33C286A8" w14:textId="77777777" w:rsidR="00593125" w:rsidRPr="00C03D45" w:rsidRDefault="00593125" w:rsidP="00BE12B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819" w:type="dxa"/>
          </w:tcPr>
          <w:p w14:paraId="534471F5" w14:textId="7DB681CD" w:rsidR="00593125" w:rsidRPr="00C03D45" w:rsidRDefault="00593125" w:rsidP="00BE12B4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Analýza priamych výdavkov projektov v rámci PO 2017 - 2013</w:t>
            </w:r>
          </w:p>
        </w:tc>
      </w:tr>
      <w:tr w:rsidR="00593125" w:rsidRPr="00C03D45" w14:paraId="245AD4EE" w14:textId="77777777" w:rsidTr="00593125">
        <w:tc>
          <w:tcPr>
            <w:tcW w:w="4248" w:type="dxa"/>
          </w:tcPr>
          <w:p w14:paraId="6731ED6A" w14:textId="0A27C149" w:rsidR="00593125" w:rsidRPr="00C03D45" w:rsidRDefault="00593125" w:rsidP="00BE12B4">
            <w:pPr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C03D45">
              <w:rPr>
                <w:rFonts w:ascii="Arial Narrow" w:hAnsi="Arial Narrow" w:cs="Arial"/>
              </w:rPr>
              <w:t>Limity pre stavebný dozor pre líniové</w:t>
            </w:r>
            <w:r w:rsidRPr="00C03D45">
              <w:rPr>
                <w:rStyle w:val="Odkaznapoznmkupodiarou"/>
                <w:rFonts w:ascii="Arial Narrow" w:hAnsi="Arial Narrow"/>
              </w:rPr>
              <w:footnoteReference w:id="15"/>
            </w:r>
            <w:r w:rsidRPr="00C03D45">
              <w:rPr>
                <w:rFonts w:ascii="Arial Narrow" w:hAnsi="Arial Narrow" w:cs="Arial"/>
              </w:rPr>
              <w:t xml:space="preserve"> stavby</w:t>
            </w:r>
          </w:p>
        </w:tc>
        <w:tc>
          <w:tcPr>
            <w:tcW w:w="4819" w:type="dxa"/>
          </w:tcPr>
          <w:p w14:paraId="72F10BB3" w14:textId="176AB51B" w:rsidR="00593125" w:rsidRPr="00C03D45" w:rsidRDefault="00593125" w:rsidP="00BE12B4">
            <w:pPr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Sadzobník pre navrhovanie ponukových cien projektových prác a inžinierskych činností 2015</w:t>
            </w:r>
          </w:p>
        </w:tc>
      </w:tr>
      <w:tr w:rsidR="00593125" w:rsidRPr="00C03D45" w14:paraId="11960D08" w14:textId="77777777" w:rsidTr="00593125">
        <w:tc>
          <w:tcPr>
            <w:tcW w:w="4248" w:type="dxa"/>
          </w:tcPr>
          <w:p w14:paraId="7960C61A" w14:textId="7A772390" w:rsidR="00593125" w:rsidRPr="00C03D45" w:rsidRDefault="00593125" w:rsidP="00BE12B4">
            <w:pPr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C03D45">
              <w:rPr>
                <w:rFonts w:ascii="Arial Narrow" w:hAnsi="Arial Narrow" w:cs="Arial"/>
              </w:rPr>
              <w:t>Limity pre stavebný dozor pre priemyselné</w:t>
            </w:r>
            <w:r w:rsidRPr="00C03D45">
              <w:rPr>
                <w:rStyle w:val="Odkaznapoznmkupodiarou"/>
                <w:rFonts w:ascii="Arial Narrow" w:hAnsi="Arial Narrow"/>
              </w:rPr>
              <w:footnoteReference w:id="16"/>
            </w:r>
            <w:r w:rsidRPr="00C03D45">
              <w:rPr>
                <w:rFonts w:ascii="Arial Narrow" w:hAnsi="Arial Narrow" w:cs="Arial"/>
              </w:rPr>
              <w:t xml:space="preserve"> stavby</w:t>
            </w:r>
          </w:p>
        </w:tc>
        <w:tc>
          <w:tcPr>
            <w:tcW w:w="4819" w:type="dxa"/>
          </w:tcPr>
          <w:p w14:paraId="685B4C96" w14:textId="73B27E2F" w:rsidR="00593125" w:rsidRPr="00C03D45" w:rsidRDefault="00593125" w:rsidP="00BE12B4">
            <w:pPr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Sadzobník pre navrhovanie ponukových cien projektových prác a inžinierskych činností 2015</w:t>
            </w:r>
          </w:p>
        </w:tc>
      </w:tr>
      <w:tr w:rsidR="00593125" w:rsidRPr="00C03D45" w14:paraId="030E2AFF" w14:textId="77777777" w:rsidTr="00593125">
        <w:tc>
          <w:tcPr>
            <w:tcW w:w="4248" w:type="dxa"/>
          </w:tcPr>
          <w:p w14:paraId="0369C552" w14:textId="08658995" w:rsidR="00593125" w:rsidRPr="00C03D45" w:rsidRDefault="00593125" w:rsidP="00BE12B4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Limity pre stavebný dozor pre ostatné</w:t>
            </w:r>
            <w:r w:rsidRPr="00C03D45">
              <w:rPr>
                <w:rStyle w:val="Odkaznapoznmkupodiarou"/>
                <w:rFonts w:ascii="Arial Narrow" w:hAnsi="Arial Narrow"/>
              </w:rPr>
              <w:footnoteReference w:id="17"/>
            </w:r>
            <w:r w:rsidRPr="00C03D45">
              <w:rPr>
                <w:rFonts w:ascii="Arial Narrow" w:hAnsi="Arial Narrow" w:cs="Arial"/>
              </w:rPr>
              <w:t xml:space="preserve"> stavby</w:t>
            </w:r>
          </w:p>
        </w:tc>
        <w:tc>
          <w:tcPr>
            <w:tcW w:w="4819" w:type="dxa"/>
          </w:tcPr>
          <w:p w14:paraId="667DCC29" w14:textId="219FC5D1" w:rsidR="00593125" w:rsidRPr="00C03D45" w:rsidRDefault="00593125" w:rsidP="00BE12B4">
            <w:pPr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Sadzobník pre navrhovanie ponukových cien projektových prác a inžinierskych činností 2015</w:t>
            </w:r>
          </w:p>
        </w:tc>
      </w:tr>
      <w:tr w:rsidR="00593125" w:rsidRPr="00C03D45" w14:paraId="5AEE6D80" w14:textId="77777777" w:rsidTr="00593125">
        <w:tc>
          <w:tcPr>
            <w:tcW w:w="4248" w:type="dxa"/>
          </w:tcPr>
          <w:p w14:paraId="0DD28210" w14:textId="33B3033A" w:rsidR="00593125" w:rsidRPr="00C03D45" w:rsidRDefault="00593125" w:rsidP="00FC62BA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Limity pre osobné výdavky prijímateľa, resp. partnera</w:t>
            </w:r>
          </w:p>
        </w:tc>
        <w:tc>
          <w:tcPr>
            <w:tcW w:w="4819" w:type="dxa"/>
          </w:tcPr>
          <w:p w14:paraId="72E1C924" w14:textId="244BC3D2" w:rsidR="00593125" w:rsidRPr="00C03D45" w:rsidRDefault="00593125" w:rsidP="00BE12B4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Analýza priamych výdavkov projektov v rámci PO 20</w:t>
            </w:r>
            <w:r w:rsidR="004A0D86">
              <w:rPr>
                <w:rFonts w:ascii="Arial Narrow" w:eastAsia="Times New Roman" w:hAnsi="Arial Narrow" w:cs="Arial"/>
                <w:bCs/>
                <w:lang w:eastAsia="sk-SK"/>
              </w:rPr>
              <w:t>0</w:t>
            </w: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 xml:space="preserve">7 </w:t>
            </w:r>
            <w:r w:rsidR="004A0D86">
              <w:rPr>
                <w:rFonts w:ascii="Arial Narrow" w:eastAsia="Times New Roman" w:hAnsi="Arial Narrow" w:cs="Arial"/>
                <w:bCs/>
                <w:lang w:eastAsia="sk-SK"/>
              </w:rPr>
              <w:t>–</w:t>
            </w: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 xml:space="preserve"> 2013</w:t>
            </w:r>
          </w:p>
        </w:tc>
      </w:tr>
      <w:tr w:rsidR="00593125" w:rsidRPr="00C03D45" w14:paraId="2DA104A8" w14:textId="77777777" w:rsidTr="00593125">
        <w:tc>
          <w:tcPr>
            <w:tcW w:w="4248" w:type="dxa"/>
          </w:tcPr>
          <w:p w14:paraId="4DF7E091" w14:textId="153C75C7" w:rsidR="00593125" w:rsidRPr="00C03D45" w:rsidRDefault="00593125" w:rsidP="00FC62BA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Limity pre externé služby</w:t>
            </w:r>
          </w:p>
        </w:tc>
        <w:tc>
          <w:tcPr>
            <w:tcW w:w="4819" w:type="dxa"/>
          </w:tcPr>
          <w:p w14:paraId="70D81B6C" w14:textId="3EED2928" w:rsidR="00593125" w:rsidRPr="000E5583" w:rsidRDefault="00593125" w:rsidP="00BE12B4">
            <w:pPr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Analýza priamych výdavkov projektov v rámci PO 20</w:t>
            </w:r>
            <w:r w:rsidR="004A0D86">
              <w:rPr>
                <w:rFonts w:ascii="Arial Narrow" w:eastAsia="Times New Roman" w:hAnsi="Arial Narrow" w:cs="Arial"/>
                <w:bCs/>
                <w:lang w:eastAsia="sk-SK"/>
              </w:rPr>
              <w:t>0</w:t>
            </w: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 xml:space="preserve">7 </w:t>
            </w:r>
            <w:r w:rsidR="00B80256" w:rsidRPr="00C03D45">
              <w:rPr>
                <w:rFonts w:ascii="Arial Narrow" w:hAnsi="Arial Narrow"/>
              </w:rPr>
              <w:t>–</w:t>
            </w: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 xml:space="preserve"> 2013</w:t>
            </w:r>
          </w:p>
        </w:tc>
      </w:tr>
      <w:tr w:rsidR="00593125" w:rsidRPr="00C03D45" w14:paraId="74228D21" w14:textId="77777777" w:rsidTr="00593125">
        <w:tc>
          <w:tcPr>
            <w:tcW w:w="4248" w:type="dxa"/>
          </w:tcPr>
          <w:p w14:paraId="76B53450" w14:textId="3E306144" w:rsidR="00593125" w:rsidRPr="00C03D45" w:rsidRDefault="00593125" w:rsidP="00FC62BA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Limity pre ostatné výdavky</w:t>
            </w:r>
          </w:p>
        </w:tc>
        <w:tc>
          <w:tcPr>
            <w:tcW w:w="4819" w:type="dxa"/>
          </w:tcPr>
          <w:p w14:paraId="5CD94437" w14:textId="742A8973" w:rsidR="00593125" w:rsidRPr="00C03D45" w:rsidRDefault="00593125" w:rsidP="00AF66B1">
            <w:pPr>
              <w:pStyle w:val="Textpoznmkypodiarou"/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</w:pPr>
            <w:r w:rsidRPr="00C03D45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>Stravné služobná cesta SR a zahraničie:</w:t>
            </w:r>
          </w:p>
          <w:p w14:paraId="33BA89E3" w14:textId="709B2C23" w:rsidR="00593125" w:rsidRPr="00C03D45" w:rsidRDefault="00593125" w:rsidP="00AA74B2">
            <w:pPr>
              <w:pStyle w:val="Textpoznmkypodiarou"/>
            </w:pPr>
            <w:r w:rsidRPr="00C03D45">
              <w:rPr>
                <w:rFonts w:ascii="Arial Narrow" w:eastAsiaTheme="minorHAnsi" w:hAnsi="Arial Narrow" w:cs="Arial"/>
                <w:sz w:val="22"/>
                <w:szCs w:val="22"/>
                <w:lang w:eastAsia="en-US"/>
              </w:rPr>
              <w:t>Opatrenia č. 296/2014 Ministerstva práce, sociálnych vecí a rodiny SR</w:t>
            </w:r>
          </w:p>
          <w:p w14:paraId="447BE994" w14:textId="0BF9390C" w:rsidR="00593125" w:rsidRPr="00C03D45" w:rsidRDefault="00593125" w:rsidP="00BE12B4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Opatrenia č. 401/2012 Ministerstva financií SR</w:t>
            </w:r>
          </w:p>
          <w:p w14:paraId="6EF2D000" w14:textId="1092B52B" w:rsidR="00593125" w:rsidRPr="00C03D45" w:rsidRDefault="009A026A" w:rsidP="001B0640">
            <w:pPr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Skúsenosti a stanovené limity iných RO a SO</w:t>
            </w:r>
          </w:p>
        </w:tc>
      </w:tr>
      <w:tr w:rsidR="00593125" w:rsidRPr="00C03D45" w14:paraId="0C2D0C6E" w14:textId="77777777" w:rsidTr="00593125">
        <w:tc>
          <w:tcPr>
            <w:tcW w:w="4248" w:type="dxa"/>
          </w:tcPr>
          <w:p w14:paraId="6F4A8EDE" w14:textId="6CDA16DD" w:rsidR="00593125" w:rsidRPr="00C03D45" w:rsidRDefault="00593125" w:rsidP="00CE4104">
            <w:pPr>
              <w:rPr>
                <w:rFonts w:ascii="Arial Narrow" w:hAnsi="Arial Narrow" w:cs="Arial"/>
              </w:rPr>
            </w:pPr>
            <w:r w:rsidRPr="00C03D45">
              <w:rPr>
                <w:rFonts w:ascii="Arial Narrow" w:hAnsi="Arial Narrow" w:cs="Arial"/>
              </w:rPr>
              <w:t>Limity pre informovanie a komunikáciu</w:t>
            </w:r>
            <w:r w:rsidRPr="00C03D45">
              <w:rPr>
                <w:rStyle w:val="Odkaznapoznmkupodiarou"/>
                <w:rFonts w:ascii="Arial" w:hAnsi="Arial" w:cs="Arial"/>
              </w:rPr>
              <w:footnoteReference w:id="18"/>
            </w:r>
          </w:p>
        </w:tc>
        <w:tc>
          <w:tcPr>
            <w:tcW w:w="4819" w:type="dxa"/>
          </w:tcPr>
          <w:p w14:paraId="33B39A23" w14:textId="0BE758DE" w:rsidR="00593125" w:rsidRPr="00C03D45" w:rsidRDefault="009A026A" w:rsidP="00CE4104">
            <w:pPr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03D45">
              <w:rPr>
                <w:rFonts w:ascii="Arial Narrow" w:eastAsia="Times New Roman" w:hAnsi="Arial Narrow" w:cs="Arial"/>
                <w:bCs/>
                <w:lang w:eastAsia="sk-SK"/>
              </w:rPr>
              <w:t>Skúsenosti a stanovené limity iných RO a SO</w:t>
            </w:r>
          </w:p>
        </w:tc>
      </w:tr>
    </w:tbl>
    <w:p w14:paraId="17B0E66F" w14:textId="55A2C57B" w:rsidR="00426613" w:rsidRPr="00C03D45" w:rsidRDefault="00426613" w:rsidP="00426613">
      <w:pPr>
        <w:pStyle w:val="Zkladntext"/>
        <w:spacing w:before="0" w:after="120" w:line="276" w:lineRule="auto"/>
        <w:rPr>
          <w:rFonts w:ascii="Arial Narrow" w:hAnsi="Arial Narrow"/>
          <w:szCs w:val="22"/>
          <w:lang w:eastAsia="sk-SK"/>
        </w:rPr>
      </w:pPr>
    </w:p>
    <w:p w14:paraId="61DD4104" w14:textId="298353FD" w:rsidR="00B277B7" w:rsidRPr="00C03D45" w:rsidRDefault="00B277B7" w:rsidP="008F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C03D45">
        <w:rPr>
          <w:rFonts w:ascii="Arial Narrow" w:eastAsia="Times New Roman" w:hAnsi="Arial Narrow" w:cs="Times New Roman"/>
          <w:b/>
          <w:lang w:eastAsia="sk-SK"/>
        </w:rPr>
        <w:t>Finančné limity patria k ďalším z pomocných nástrojov,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ktoré sa 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využíva</w:t>
      </w:r>
      <w:r w:rsidR="00784E7A">
        <w:rPr>
          <w:rFonts w:ascii="Arial Narrow" w:eastAsia="Times New Roman" w:hAnsi="Arial Narrow" w:cs="Times New Roman"/>
          <w:b/>
          <w:lang w:eastAsia="sk-SK"/>
        </w:rPr>
        <w:t>jú</w:t>
      </w:r>
      <w:r w:rsidR="002E52E3">
        <w:rPr>
          <w:rFonts w:ascii="Arial Narrow" w:eastAsia="Times New Roman" w:hAnsi="Arial Narrow" w:cs="Times New Roman"/>
          <w:b/>
          <w:lang w:eastAsia="sk-SK"/>
        </w:rPr>
        <w:t xml:space="preserve"> pri overovaní hospodárnosti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pri 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>národných</w:t>
      </w:r>
      <w:r w:rsidR="001C5B9C">
        <w:rPr>
          <w:rFonts w:ascii="Arial Narrow" w:eastAsia="Times New Roman" w:hAnsi="Arial Narrow" w:cs="Times New Roman"/>
          <w:b/>
          <w:lang w:eastAsia="sk-SK"/>
        </w:rPr>
        <w:t xml:space="preserve"> a veľkých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projektoch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ako aj v prípade realizácie dopytovo-orientovaných projektov PO7 OPII. Základné finančné limity sú definované v </w:t>
      </w:r>
      <w:r w:rsidR="00FE0007" w:rsidRPr="00C03D45">
        <w:rPr>
          <w:rFonts w:ascii="Arial Narrow" w:eastAsia="Times New Roman" w:hAnsi="Arial Narrow" w:cs="Times New Roman"/>
          <w:b/>
          <w:lang w:eastAsia="sk-SK"/>
        </w:rPr>
        <w:t>P</w:t>
      </w:r>
      <w:r w:rsidRPr="00C03D45">
        <w:rPr>
          <w:rFonts w:ascii="Arial Narrow" w:eastAsia="Times New Roman" w:hAnsi="Arial Narrow" w:cs="Times New Roman"/>
          <w:b/>
          <w:lang w:eastAsia="sk-SK"/>
        </w:rPr>
        <w:t>ríručke oprávnenosti výdavkov PO7 OPII, ktorá je prílohou</w:t>
      </w:r>
      <w:r w:rsidR="005B4D27">
        <w:rPr>
          <w:rFonts w:ascii="Arial Narrow" w:eastAsia="Times New Roman" w:hAnsi="Arial Narrow" w:cs="Times New Roman"/>
          <w:b/>
          <w:lang w:eastAsia="sk-SK"/>
        </w:rPr>
        <w:t xml:space="preserve"> relevantnej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Príručky pre žiadateľa OPII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pre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PO7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 xml:space="preserve"> Informačná sp</w:t>
      </w:r>
      <w:r w:rsidR="00085408" w:rsidRPr="00C03D45">
        <w:rPr>
          <w:rFonts w:ascii="Arial Narrow" w:eastAsia="Times New Roman" w:hAnsi="Arial Narrow" w:cs="Times New Roman"/>
          <w:b/>
          <w:lang w:eastAsia="sk-SK"/>
        </w:rPr>
        <w:t>o</w:t>
      </w:r>
      <w:r w:rsidR="00A2203F" w:rsidRPr="00C03D45">
        <w:rPr>
          <w:rFonts w:ascii="Arial Narrow" w:eastAsia="Times New Roman" w:hAnsi="Arial Narrow" w:cs="Times New Roman"/>
          <w:b/>
          <w:lang w:eastAsia="sk-SK"/>
        </w:rPr>
        <w:t>ločnosť</w:t>
      </w:r>
      <w:r w:rsidRPr="00C03D45">
        <w:rPr>
          <w:rFonts w:ascii="Arial Narrow" w:eastAsia="Times New Roman" w:hAnsi="Arial Narrow" w:cs="Times New Roman"/>
          <w:b/>
          <w:lang w:eastAsia="sk-SK"/>
        </w:rPr>
        <w:t>.</w:t>
      </w:r>
    </w:p>
    <w:p w14:paraId="1DE13314" w14:textId="1B0E3EB0" w:rsidR="00194F1D" w:rsidRPr="00C03D45" w:rsidRDefault="0092674C" w:rsidP="00194F1D">
      <w:pPr>
        <w:spacing w:after="0"/>
        <w:rPr>
          <w:rFonts w:ascii="Arial Narrow" w:hAnsi="Arial Narrow"/>
          <w:b/>
        </w:rPr>
      </w:pPr>
      <w:r w:rsidRPr="00C03D45">
        <w:rPr>
          <w:rFonts w:ascii="Arial Narrow" w:hAnsi="Arial Narrow"/>
          <w:b/>
        </w:rPr>
        <w:tab/>
      </w:r>
      <w:r w:rsidR="00194F1D" w:rsidRPr="00C03D45">
        <w:rPr>
          <w:rFonts w:ascii="Arial Narrow" w:hAnsi="Arial Narrow"/>
          <w:b/>
        </w:rPr>
        <w:tab/>
      </w:r>
    </w:p>
    <w:p w14:paraId="124AC97D" w14:textId="743F8F5A" w:rsidR="00194F1D" w:rsidRPr="00C03D45" w:rsidRDefault="00780397" w:rsidP="007C10AC">
      <w:pPr>
        <w:pStyle w:val="Ob3"/>
      </w:pPr>
      <w:bookmarkStart w:id="19" w:name="_Toc48031517"/>
      <w:r w:rsidRPr="00C03D45">
        <w:t>3.</w:t>
      </w:r>
      <w:r w:rsidR="002E52E3">
        <w:t>6</w:t>
      </w:r>
      <w:r w:rsidR="007C10AC" w:rsidRPr="00C03D45">
        <w:tab/>
      </w:r>
      <w:r w:rsidR="00194F1D" w:rsidRPr="00C03D45">
        <w:t>Prieskum trhu</w:t>
      </w:r>
      <w:r w:rsidR="00194F1D" w:rsidRPr="00C03D45">
        <w:rPr>
          <w:vertAlign w:val="superscript"/>
        </w:rPr>
        <w:footnoteReference w:id="19"/>
      </w:r>
      <w:bookmarkEnd w:id="19"/>
    </w:p>
    <w:p w14:paraId="5A206A25" w14:textId="1BB2E84F" w:rsidR="00194F1D" w:rsidRPr="00C03D45" w:rsidRDefault="00194F1D" w:rsidP="00513914">
      <w:pPr>
        <w:pStyle w:val="SRKNorm"/>
        <w:numPr>
          <w:ilvl w:val="0"/>
          <w:numId w:val="0"/>
        </w:numPr>
        <w:spacing w:before="120" w:after="120"/>
        <w:contextualSpacing w:val="0"/>
        <w:rPr>
          <w:rFonts w:ascii="Arial Narrow" w:hAnsi="Arial Narrow"/>
          <w:sz w:val="22"/>
          <w:szCs w:val="22"/>
        </w:rPr>
      </w:pPr>
      <w:r w:rsidRPr="00C03D45">
        <w:rPr>
          <w:rFonts w:ascii="Arial Narrow" w:hAnsi="Arial Narrow"/>
          <w:sz w:val="22"/>
          <w:szCs w:val="22"/>
        </w:rPr>
        <w:t>Prieskum trhu je ďalší</w:t>
      </w:r>
      <w:r w:rsidR="007C4445" w:rsidRPr="00C03D45">
        <w:rPr>
          <w:rFonts w:ascii="Arial Narrow" w:hAnsi="Arial Narrow"/>
          <w:sz w:val="22"/>
          <w:szCs w:val="22"/>
        </w:rPr>
        <w:t>m z pomocných</w:t>
      </w:r>
      <w:r w:rsidRPr="00C03D45">
        <w:rPr>
          <w:rFonts w:ascii="Arial Narrow" w:hAnsi="Arial Narrow"/>
          <w:sz w:val="22"/>
          <w:szCs w:val="22"/>
        </w:rPr>
        <w:t xml:space="preserve"> nástroj</w:t>
      </w:r>
      <w:r w:rsidR="007C4445" w:rsidRPr="00C03D45">
        <w:rPr>
          <w:rFonts w:ascii="Arial Narrow" w:hAnsi="Arial Narrow"/>
          <w:sz w:val="22"/>
          <w:szCs w:val="22"/>
        </w:rPr>
        <w:t>ov</w:t>
      </w:r>
      <w:r w:rsidRPr="00C03D45">
        <w:rPr>
          <w:rFonts w:ascii="Arial Narrow" w:hAnsi="Arial Narrow"/>
          <w:sz w:val="22"/>
          <w:szCs w:val="22"/>
        </w:rPr>
        <w:t xml:space="preserve"> na zabezpečenie toho, aby vynaložené výdavky zodpovedali obvyklým cenám v danom mieste</w:t>
      </w:r>
      <w:r w:rsidR="00E23B26" w:rsidRPr="00C03D45">
        <w:rPr>
          <w:rFonts w:ascii="Arial Narrow" w:hAnsi="Arial Narrow"/>
          <w:sz w:val="22"/>
          <w:szCs w:val="22"/>
        </w:rPr>
        <w:t xml:space="preserve"> a čase, t.</w:t>
      </w:r>
      <w:r w:rsidR="00B517DA">
        <w:rPr>
          <w:rFonts w:ascii="Arial Narrow" w:hAnsi="Arial Narrow"/>
          <w:sz w:val="22"/>
          <w:szCs w:val="22"/>
        </w:rPr>
        <w:t xml:space="preserve"> </w:t>
      </w:r>
      <w:r w:rsidR="00E23B26" w:rsidRPr="00C03D45">
        <w:rPr>
          <w:rFonts w:ascii="Arial Narrow" w:hAnsi="Arial Narrow"/>
          <w:sz w:val="22"/>
          <w:szCs w:val="22"/>
        </w:rPr>
        <w:t>j. ich hospodárnosti. Prieskum trhu sa vo všeobecnosti realizuje prostredníctvom zberu, analýzy, triedenia, spracovania a vyhodnocovania relevantných informácií o možných cenách dodaných tovarov, prác alebo služieb.</w:t>
      </w:r>
    </w:p>
    <w:p w14:paraId="2894EDF3" w14:textId="5B94A55A" w:rsidR="00194F1D" w:rsidRDefault="00194F1D" w:rsidP="00513914">
      <w:pPr>
        <w:pStyle w:val="Zkladntext"/>
        <w:spacing w:before="120" w:after="12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Prieskum trhu môže byť vykonávaný žiadateľom</w:t>
      </w:r>
      <w:r w:rsidR="00BA5511" w:rsidRPr="00C03D45">
        <w:rPr>
          <w:rFonts w:ascii="Arial Narrow" w:hAnsi="Arial Narrow"/>
          <w:szCs w:val="22"/>
        </w:rPr>
        <w:t>/prijímateľom</w:t>
      </w:r>
      <w:r w:rsidRPr="00C03D45">
        <w:rPr>
          <w:rFonts w:ascii="Arial Narrow" w:hAnsi="Arial Narrow"/>
          <w:szCs w:val="22"/>
        </w:rPr>
        <w:t xml:space="preserve"> alebo </w:t>
      </w:r>
      <w:r w:rsidR="009543F6" w:rsidRPr="00C03D45">
        <w:rPr>
          <w:rFonts w:ascii="Arial Narrow" w:hAnsi="Arial Narrow"/>
          <w:szCs w:val="22"/>
        </w:rPr>
        <w:t>RO/</w:t>
      </w:r>
      <w:r w:rsidR="00777BF0" w:rsidRPr="00C03D45">
        <w:rPr>
          <w:rFonts w:ascii="Arial Narrow" w:hAnsi="Arial Narrow"/>
          <w:szCs w:val="22"/>
        </w:rPr>
        <w:t>SO</w:t>
      </w:r>
      <w:r w:rsidR="00C23DE1">
        <w:rPr>
          <w:rFonts w:ascii="Arial Narrow" w:hAnsi="Arial Narrow"/>
          <w:szCs w:val="22"/>
        </w:rPr>
        <w:t>/odborným hodnotiteľom</w:t>
      </w:r>
      <w:r w:rsidRPr="00C03D45">
        <w:rPr>
          <w:rFonts w:ascii="Arial Narrow" w:hAnsi="Arial Narrow"/>
          <w:szCs w:val="22"/>
        </w:rPr>
        <w:t>. Prieskum trhu teda môže byť vypracovaný napríklad zo strany žiadateľa</w:t>
      </w:r>
      <w:r w:rsidR="009543F6" w:rsidRPr="00C03D45">
        <w:rPr>
          <w:rFonts w:ascii="Arial Narrow" w:hAnsi="Arial Narrow"/>
          <w:szCs w:val="22"/>
        </w:rPr>
        <w:t>/prijímateľa</w:t>
      </w:r>
      <w:r w:rsidR="00BA5511" w:rsidRPr="00C03D45">
        <w:rPr>
          <w:rFonts w:ascii="Arial Narrow" w:hAnsi="Arial Narrow"/>
          <w:szCs w:val="22"/>
        </w:rPr>
        <w:t xml:space="preserve"> </w:t>
      </w:r>
      <w:r w:rsidRPr="00C03D45">
        <w:rPr>
          <w:rFonts w:ascii="Arial Narrow" w:hAnsi="Arial Narrow"/>
          <w:szCs w:val="22"/>
        </w:rPr>
        <w:t xml:space="preserve">s cieľom preukázať hospodárnosť výdavkov definovaných v rozpočte </w:t>
      </w:r>
      <w:r w:rsidR="00BF6BF3" w:rsidRPr="00C03D45">
        <w:rPr>
          <w:rFonts w:ascii="Arial Narrow" w:hAnsi="Arial Narrow"/>
          <w:szCs w:val="22"/>
        </w:rPr>
        <w:t>Žo</w:t>
      </w:r>
      <w:r w:rsidRPr="00C03D45">
        <w:rPr>
          <w:rFonts w:ascii="Arial Narrow" w:hAnsi="Arial Narrow"/>
          <w:szCs w:val="22"/>
        </w:rPr>
        <w:t xml:space="preserve">NFP alebo zo strany </w:t>
      </w:r>
      <w:r w:rsidR="009543F6" w:rsidRPr="00C03D45">
        <w:rPr>
          <w:rFonts w:ascii="Arial Narrow" w:hAnsi="Arial Narrow"/>
          <w:szCs w:val="22"/>
        </w:rPr>
        <w:t>RO/</w:t>
      </w:r>
      <w:r w:rsidR="00777BF0" w:rsidRPr="00C03D45">
        <w:rPr>
          <w:rFonts w:ascii="Arial Narrow" w:hAnsi="Arial Narrow"/>
          <w:szCs w:val="22"/>
        </w:rPr>
        <w:t>SO</w:t>
      </w:r>
      <w:r w:rsidRPr="00C03D45">
        <w:rPr>
          <w:rFonts w:ascii="Arial Narrow" w:hAnsi="Arial Narrow"/>
          <w:szCs w:val="22"/>
        </w:rPr>
        <w:t xml:space="preserve"> s cieľom overiť hospodárnosť výdavkov v konaní o </w:t>
      </w:r>
      <w:r w:rsidR="00BF6BF3" w:rsidRPr="00C03D45">
        <w:rPr>
          <w:rFonts w:ascii="Arial Narrow" w:hAnsi="Arial Narrow"/>
          <w:szCs w:val="22"/>
        </w:rPr>
        <w:t>ŽoNFP</w:t>
      </w:r>
      <w:r w:rsidRPr="00C03D45">
        <w:rPr>
          <w:rFonts w:ascii="Arial Narrow" w:hAnsi="Arial Narrow"/>
          <w:szCs w:val="22"/>
        </w:rPr>
        <w:t xml:space="preserve">, prípadne realizácii projektu (napr. </w:t>
      </w:r>
      <w:r w:rsidR="00C57A61" w:rsidRPr="00C57A61">
        <w:rPr>
          <w:rFonts w:ascii="Arial Narrow" w:hAnsi="Arial Narrow"/>
          <w:szCs w:val="22"/>
        </w:rPr>
        <w:t xml:space="preserve">administratívna finančná </w:t>
      </w:r>
      <w:r w:rsidRPr="00C03D45">
        <w:rPr>
          <w:rFonts w:ascii="Arial Narrow" w:hAnsi="Arial Narrow"/>
          <w:szCs w:val="22"/>
        </w:rPr>
        <w:t>kontrola žiadosti o</w:t>
      </w:r>
      <w:r w:rsidR="00BF6BF3" w:rsidRPr="00C03D45">
        <w:rPr>
          <w:rFonts w:ascii="Arial Narrow" w:hAnsi="Arial Narrow"/>
          <w:szCs w:val="22"/>
        </w:rPr>
        <w:t> </w:t>
      </w:r>
      <w:r w:rsidRPr="00C03D45">
        <w:rPr>
          <w:rFonts w:ascii="Arial Narrow" w:hAnsi="Arial Narrow"/>
          <w:szCs w:val="22"/>
        </w:rPr>
        <w:t>platbu</w:t>
      </w:r>
      <w:r w:rsidR="00BF6BF3" w:rsidRPr="00C03D45">
        <w:rPr>
          <w:rFonts w:ascii="Arial Narrow" w:hAnsi="Arial Narrow"/>
          <w:szCs w:val="22"/>
        </w:rPr>
        <w:t xml:space="preserve">, monitorovanie projektu, </w:t>
      </w:r>
      <w:r w:rsidR="00A341D1">
        <w:rPr>
          <w:rFonts w:ascii="Arial Narrow" w:hAnsi="Arial Narrow"/>
          <w:szCs w:val="22"/>
        </w:rPr>
        <w:t xml:space="preserve">finančná </w:t>
      </w:r>
      <w:r w:rsidR="00BF6BF3" w:rsidRPr="00C03D45">
        <w:rPr>
          <w:rFonts w:ascii="Arial Narrow" w:hAnsi="Arial Narrow"/>
          <w:szCs w:val="22"/>
        </w:rPr>
        <w:t>kontrola na mieste a pod.</w:t>
      </w:r>
      <w:r w:rsidRPr="00C03D45">
        <w:rPr>
          <w:rFonts w:ascii="Arial Narrow" w:hAnsi="Arial Narrow"/>
          <w:szCs w:val="22"/>
        </w:rPr>
        <w:t xml:space="preserve">). </w:t>
      </w:r>
      <w:r w:rsidR="00B01C51" w:rsidRPr="00C03D45">
        <w:rPr>
          <w:rFonts w:ascii="Arial Narrow" w:hAnsi="Arial Narrow"/>
          <w:szCs w:val="22"/>
        </w:rPr>
        <w:t xml:space="preserve">Odborný hodnotiteľ </w:t>
      </w:r>
      <w:r w:rsidRPr="00C03D45">
        <w:rPr>
          <w:rFonts w:ascii="Arial Narrow" w:hAnsi="Arial Narrow"/>
          <w:szCs w:val="22"/>
        </w:rPr>
        <w:t>využíva prieskum trhu žiadateľa/prijímateľa v prípade, ak informácie, ktoré sú výstupom realizovaného prieskumu trhu pre neho predstavujú nevyhnutnú podporu rozhodovania pri posúdení hospodárnosti výdavkov projektu.</w:t>
      </w:r>
      <w:r w:rsidR="0057247A" w:rsidRPr="00C03D45">
        <w:rPr>
          <w:rFonts w:ascii="Arial Narrow" w:hAnsi="Arial Narrow"/>
          <w:szCs w:val="22"/>
        </w:rPr>
        <w:t xml:space="preserve"> Vzhľadom na charakter projektov PO7 OPII a množstvo výdavkov</w:t>
      </w:r>
      <w:r w:rsidR="009D0325" w:rsidRPr="00C03D45">
        <w:rPr>
          <w:rFonts w:ascii="Arial Narrow" w:hAnsi="Arial Narrow"/>
          <w:szCs w:val="22"/>
        </w:rPr>
        <w:t xml:space="preserve"> sa z dôvodu neúmernej a neefektívnej časovej, administratívnej, technickej a odbornej náročnosti,</w:t>
      </w:r>
      <w:r w:rsidR="0057247A" w:rsidRPr="00C03D45">
        <w:rPr>
          <w:rFonts w:ascii="Arial Narrow" w:hAnsi="Arial Narrow"/>
          <w:szCs w:val="22"/>
        </w:rPr>
        <w:t xml:space="preserve"> prieskum trhu realizuje len v prípade vyžiadania zo strany hodnotiteľa </w:t>
      </w:r>
      <w:r w:rsidR="00BF6BF3" w:rsidRPr="00C03D45">
        <w:rPr>
          <w:rFonts w:ascii="Arial Narrow" w:hAnsi="Arial Narrow"/>
          <w:szCs w:val="22"/>
        </w:rPr>
        <w:t>Žo</w:t>
      </w:r>
      <w:r w:rsidR="0057247A" w:rsidRPr="00C03D45">
        <w:rPr>
          <w:rFonts w:ascii="Arial Narrow" w:hAnsi="Arial Narrow"/>
          <w:szCs w:val="22"/>
        </w:rPr>
        <w:t xml:space="preserve">NFP, resp. </w:t>
      </w:r>
      <w:r w:rsidR="00980E69" w:rsidRPr="00C03D45">
        <w:rPr>
          <w:rFonts w:ascii="Arial Narrow" w:hAnsi="Arial Narrow"/>
          <w:szCs w:val="22"/>
        </w:rPr>
        <w:t xml:space="preserve">počas realizácie projektu </w:t>
      </w:r>
      <w:r w:rsidR="0057247A" w:rsidRPr="00C03D45">
        <w:rPr>
          <w:rFonts w:ascii="Arial Narrow" w:hAnsi="Arial Narrow"/>
          <w:szCs w:val="22"/>
        </w:rPr>
        <w:t>v prípade podozrenia na neúmerne vysokú sumu výdavku, a to len pri položkách, pri ktorých je prieskum trhu možné vykonať.</w:t>
      </w:r>
      <w:r w:rsidR="00576451" w:rsidRPr="00C03D45">
        <w:rPr>
          <w:rFonts w:ascii="Arial Narrow" w:hAnsi="Arial Narrow"/>
          <w:szCs w:val="22"/>
        </w:rPr>
        <w:t xml:space="preserve"> Odborný hodnotiteľ, projektový manažér a finančný manažér, pri vykonaní prieskumu trhu zohľadňujú faktor časového posun</w:t>
      </w:r>
      <w:r w:rsidR="003E3E26">
        <w:rPr>
          <w:rFonts w:ascii="Arial Narrow" w:hAnsi="Arial Narrow"/>
          <w:szCs w:val="22"/>
        </w:rPr>
        <w:t>u</w:t>
      </w:r>
      <w:r w:rsidR="00576451" w:rsidRPr="00C03D45">
        <w:rPr>
          <w:rFonts w:ascii="Arial Narrow" w:hAnsi="Arial Narrow"/>
          <w:szCs w:val="22"/>
        </w:rPr>
        <w:t xml:space="preserve"> medzi prieskumom trhu vykonaným RO/SO a napr. </w:t>
      </w:r>
      <w:r w:rsidR="00B517DA">
        <w:rPr>
          <w:rFonts w:ascii="Arial Narrow" w:hAnsi="Arial Narrow"/>
          <w:szCs w:val="22"/>
        </w:rPr>
        <w:t>verejným obstarávaním</w:t>
      </w:r>
      <w:r w:rsidR="00576451" w:rsidRPr="00C03D45">
        <w:rPr>
          <w:rFonts w:ascii="Arial Narrow" w:hAnsi="Arial Narrow"/>
          <w:szCs w:val="22"/>
        </w:rPr>
        <w:t xml:space="preserve"> vykonaným žiadateľom, ktorý môže </w:t>
      </w:r>
      <w:r w:rsidR="003E3E26" w:rsidRPr="00C03D45">
        <w:rPr>
          <w:rFonts w:ascii="Arial Narrow" w:hAnsi="Arial Narrow"/>
          <w:szCs w:val="22"/>
        </w:rPr>
        <w:t>ovplyvniť</w:t>
      </w:r>
      <w:r w:rsidR="00576451" w:rsidRPr="00C03D45">
        <w:rPr>
          <w:rFonts w:ascii="Arial Narrow" w:hAnsi="Arial Narrow"/>
          <w:szCs w:val="22"/>
        </w:rPr>
        <w:t xml:space="preserve"> objektívnosť porovnávania získaných informácií.</w:t>
      </w:r>
    </w:p>
    <w:p w14:paraId="2EDD71C0" w14:textId="77777777" w:rsidR="00DC4373" w:rsidRPr="00DC4373" w:rsidRDefault="00DC4373" w:rsidP="00DC4373">
      <w:pPr>
        <w:keepNext/>
        <w:keepLines/>
        <w:spacing w:before="120" w:after="0" w:line="240" w:lineRule="auto"/>
        <w:jc w:val="both"/>
        <w:rPr>
          <w:rFonts w:ascii="Arial Narrow" w:hAnsi="Arial Narrow" w:cs="Calibri"/>
          <w:bCs/>
          <w:lang w:eastAsia="cs-CZ"/>
        </w:rPr>
      </w:pPr>
      <w:r w:rsidRPr="00DC4373">
        <w:rPr>
          <w:rFonts w:ascii="Arial Narrow" w:hAnsi="Arial Narrow" w:cs="Calibri"/>
          <w:bCs/>
          <w:lang w:eastAsia="cs-CZ"/>
        </w:rPr>
        <w:t xml:space="preserve">Prieskum trhu sa vykoná vyžiadaním </w:t>
      </w:r>
      <w:r w:rsidRPr="00DC4373">
        <w:rPr>
          <w:rFonts w:ascii="Arial Narrow" w:hAnsi="Arial Narrow" w:cs="Calibri"/>
          <w:b/>
          <w:bCs/>
          <w:lang w:eastAsia="cs-CZ"/>
        </w:rPr>
        <w:t>minimálne 3 ponúk</w:t>
      </w:r>
      <w:r w:rsidRPr="00DC4373">
        <w:rPr>
          <w:rFonts w:ascii="Arial Narrow" w:hAnsi="Arial Narrow" w:cs="Calibri"/>
          <w:bCs/>
          <w:lang w:eastAsia="cs-CZ"/>
        </w:rPr>
        <w:t xml:space="preserve"> od rôznych potenciálnych dodávateľov na predmet zákazky tovaru, práce alebo služby s cieľom zistenia aktuálnych cenových úrovní. Potenciálni dodávatelia oslovení v rámci prieskumu trhu musia byť spôsobilí dodať tovar, práce alebo služby, ktoré sú predmetom prieskumu trhu. Ponuky od potenciálnych dodávateľov nesmú byť staršie ako 6 mesiacov ku dňu realizácie prieskumu trhu. Ak ceny tovarov, stavebných prác alebo služieb nezaznamenali na trhu zmenu, je možné pre účely prieskumu trhu použiť aj ponuky staršie ako 6 mesiacov (zdôvodnenie tejto skutočnosti musí byť súčasťou dokumentácie k prieskumu trhu).</w:t>
      </w:r>
    </w:p>
    <w:p w14:paraId="0061984A" w14:textId="03BF677C" w:rsidR="00DC4373" w:rsidRDefault="00DC4373" w:rsidP="00DC4373">
      <w:pPr>
        <w:keepNext/>
        <w:keepLines/>
        <w:spacing w:before="120" w:after="0" w:line="240" w:lineRule="auto"/>
        <w:jc w:val="both"/>
        <w:rPr>
          <w:rFonts w:ascii="Arial Narrow" w:hAnsi="Arial Narrow" w:cs="Calibri"/>
          <w:bCs/>
          <w:lang w:eastAsia="cs-CZ"/>
        </w:rPr>
      </w:pPr>
      <w:r w:rsidRPr="00DC4373">
        <w:rPr>
          <w:rFonts w:ascii="Arial Narrow" w:hAnsi="Arial Narrow" w:cs="Calibri"/>
          <w:bCs/>
          <w:lang w:eastAsia="cs-CZ"/>
        </w:rPr>
        <w:t>RO</w:t>
      </w:r>
      <w:r>
        <w:rPr>
          <w:rFonts w:ascii="Arial Narrow" w:hAnsi="Arial Narrow" w:cs="Calibri"/>
          <w:bCs/>
          <w:lang w:eastAsia="cs-CZ"/>
        </w:rPr>
        <w:t>/SO</w:t>
      </w:r>
      <w:r w:rsidRPr="00DC4373">
        <w:rPr>
          <w:rFonts w:ascii="Arial Narrow" w:hAnsi="Arial Narrow" w:cs="Calibri"/>
          <w:bCs/>
          <w:lang w:eastAsia="cs-CZ"/>
        </w:rPr>
        <w:t xml:space="preserve"> OPII je oprávnený v prípade, že na úrovni žiadateľa nie je možné získať resp. identifikovať minimálne 3 ponuky od potenciálnych dodávateľov, akceptovať aj nižší počet ponúk za splnenia aspoň jednej z nasledovných podmienok: </w:t>
      </w:r>
    </w:p>
    <w:p w14:paraId="03C60137" w14:textId="2E6B1AC0" w:rsidR="00DC4373" w:rsidRPr="00DC4373" w:rsidRDefault="00DC4373" w:rsidP="00DC4373">
      <w:pPr>
        <w:keepNext/>
        <w:keepLines/>
        <w:numPr>
          <w:ilvl w:val="0"/>
          <w:numId w:val="43"/>
        </w:numPr>
        <w:spacing w:before="120" w:after="0" w:line="240" w:lineRule="auto"/>
        <w:jc w:val="both"/>
        <w:rPr>
          <w:rFonts w:ascii="Arial Narrow" w:hAnsi="Arial Narrow" w:cs="Calibri"/>
          <w:bCs/>
          <w:lang w:eastAsia="cs-CZ"/>
        </w:rPr>
      </w:pPr>
      <w:r w:rsidRPr="00DC4373">
        <w:rPr>
          <w:rFonts w:ascii="Arial Narrow" w:hAnsi="Arial Narrow" w:cs="Calibri"/>
          <w:bCs/>
          <w:lang w:eastAsia="cs-CZ"/>
        </w:rPr>
        <w:t>RO</w:t>
      </w:r>
      <w:r>
        <w:rPr>
          <w:rFonts w:ascii="Arial Narrow" w:hAnsi="Arial Narrow" w:cs="Calibri"/>
          <w:bCs/>
          <w:lang w:eastAsia="cs-CZ"/>
        </w:rPr>
        <w:t>/SO</w:t>
      </w:r>
      <w:r w:rsidRPr="00DC4373">
        <w:rPr>
          <w:rFonts w:ascii="Arial Narrow" w:hAnsi="Arial Narrow" w:cs="Calibri"/>
          <w:bCs/>
          <w:lang w:eastAsia="cs-CZ"/>
        </w:rPr>
        <w:t xml:space="preserve"> umožní vykonanie prieskumu trhu žiadateľom/prijímateľom aj získaním/identifikovaním menšieho počtu ponúk od potenciálnych dodávateľov ako 3 na základe špecifík žiadateľov, projektov a pod.; žiadateľ/prijímateľ v tomto prípade objektívne zdôvodní nižší počet oslovených potenciálnych dodávateľov ako bol požadovaný vo výzve/vyzvaní; uvedené pravidlo sa vzťahuje aj na prieskum trhu realizovaný na základe zákaziek, ktoré boli výsledkom postupu s využitím elektronického trhoviska alebo pri identifikácií zmlúv, zverejnených v Centrálnom registri zmlúv (v takomto prípade RO</w:t>
      </w:r>
      <w:r>
        <w:rPr>
          <w:rFonts w:ascii="Arial Narrow" w:hAnsi="Arial Narrow" w:cs="Calibri"/>
          <w:bCs/>
          <w:lang w:eastAsia="cs-CZ"/>
        </w:rPr>
        <w:t>/SO</w:t>
      </w:r>
      <w:r w:rsidRPr="00DC4373">
        <w:rPr>
          <w:rFonts w:ascii="Arial Narrow" w:hAnsi="Arial Narrow" w:cs="Calibri"/>
          <w:bCs/>
          <w:lang w:eastAsia="cs-CZ"/>
        </w:rPr>
        <w:t xml:space="preserve"> overí opodstatnenosť zdôvodnenia nižšieho ako požadovaného počtu oslovených/identifikovaných potenciálnych dodávateľov zo strany žiadateľa);</w:t>
      </w:r>
    </w:p>
    <w:p w14:paraId="5E2946F6" w14:textId="115F1CF2" w:rsidR="00DC4373" w:rsidRPr="00DC4373" w:rsidRDefault="00DC4373" w:rsidP="00DC4373">
      <w:pPr>
        <w:keepNext/>
        <w:keepLines/>
        <w:numPr>
          <w:ilvl w:val="0"/>
          <w:numId w:val="43"/>
        </w:numPr>
        <w:spacing w:before="120" w:after="0" w:line="240" w:lineRule="auto"/>
        <w:jc w:val="both"/>
        <w:rPr>
          <w:rFonts w:ascii="Arial Narrow" w:hAnsi="Arial Narrow" w:cs="Calibri"/>
          <w:bCs/>
          <w:lang w:eastAsia="cs-CZ"/>
        </w:rPr>
      </w:pPr>
      <w:r w:rsidRPr="00DC4373">
        <w:rPr>
          <w:rFonts w:ascii="Arial Narrow" w:hAnsi="Arial Narrow" w:cs="Calibri"/>
          <w:bCs/>
          <w:lang w:eastAsia="cs-CZ"/>
        </w:rPr>
        <w:t>uvedená možnosť je zadefinovaná zo strany RO</w:t>
      </w:r>
      <w:r>
        <w:rPr>
          <w:rFonts w:ascii="Arial Narrow" w:hAnsi="Arial Narrow" w:cs="Calibri"/>
          <w:bCs/>
          <w:lang w:eastAsia="cs-CZ"/>
        </w:rPr>
        <w:t>/SO</w:t>
      </w:r>
      <w:r w:rsidRPr="00DC4373">
        <w:rPr>
          <w:rFonts w:ascii="Arial Narrow" w:hAnsi="Arial Narrow" w:cs="Calibri"/>
          <w:bCs/>
          <w:lang w:eastAsia="cs-CZ"/>
        </w:rPr>
        <w:t xml:space="preserve"> na úrovni vyzvania</w:t>
      </w:r>
      <w:r>
        <w:rPr>
          <w:rFonts w:ascii="Arial Narrow" w:hAnsi="Arial Narrow" w:cs="Calibri"/>
          <w:bCs/>
          <w:lang w:eastAsia="cs-CZ"/>
        </w:rPr>
        <w:t>/výzvy</w:t>
      </w:r>
      <w:r w:rsidRPr="00DC4373">
        <w:rPr>
          <w:rFonts w:ascii="Arial Narrow" w:hAnsi="Arial Narrow" w:cs="Calibri"/>
          <w:bCs/>
          <w:lang w:eastAsia="cs-CZ"/>
        </w:rPr>
        <w:t xml:space="preserve"> na základe riadne zdokumentovaných objektívnych skutočností vyplývajúcich napr. zo špecifík typov oprávnených aktivít a žiadateľov, ktoré pripúšťajú zníženie počtu záujemcov</w:t>
      </w:r>
    </w:p>
    <w:p w14:paraId="65C5F651" w14:textId="19D13FA5" w:rsidR="00194F1D" w:rsidRDefault="00194F1D" w:rsidP="00513914">
      <w:pPr>
        <w:pStyle w:val="Zkladntext"/>
        <w:spacing w:before="120" w:after="120"/>
        <w:rPr>
          <w:rFonts w:ascii="Arial Narrow" w:hAnsi="Arial Narrow"/>
          <w:szCs w:val="22"/>
        </w:rPr>
      </w:pPr>
      <w:r w:rsidRPr="003E3E26">
        <w:rPr>
          <w:rFonts w:ascii="Arial Narrow" w:hAnsi="Arial Narrow"/>
          <w:szCs w:val="22"/>
        </w:rPr>
        <w:t>V prípade, že daný výdavok spadá pod tovar/službu/prácu, ktorá je v zmysle § 9b zákona č. 25/2006 Z.</w:t>
      </w:r>
      <w:r w:rsidR="004D3CC1">
        <w:rPr>
          <w:rFonts w:ascii="Arial Narrow" w:hAnsi="Arial Narrow"/>
          <w:szCs w:val="22"/>
        </w:rPr>
        <w:t xml:space="preserve"> </w:t>
      </w:r>
      <w:r w:rsidRPr="003E3E26">
        <w:rPr>
          <w:rFonts w:ascii="Arial Narrow" w:hAnsi="Arial Narrow"/>
          <w:szCs w:val="22"/>
        </w:rPr>
        <w:t>z. o verejnom obstarávaní a o zmene a doplnení niektorých zákonov v znení neskorších predpisov,</w:t>
      </w:r>
      <w:r w:rsidR="00700C1D">
        <w:rPr>
          <w:rFonts w:ascii="Arial Narrow" w:hAnsi="Arial Narrow"/>
          <w:szCs w:val="22"/>
        </w:rPr>
        <w:t xml:space="preserve"> resp. § 2 ods. 5, písm</w:t>
      </w:r>
      <w:r w:rsidR="00E80E7B">
        <w:rPr>
          <w:rFonts w:ascii="Arial Narrow" w:hAnsi="Arial Narrow"/>
          <w:szCs w:val="22"/>
        </w:rPr>
        <w:t>.</w:t>
      </w:r>
      <w:r w:rsidR="00700C1D">
        <w:rPr>
          <w:rFonts w:ascii="Arial Narrow" w:hAnsi="Arial Narrow"/>
          <w:szCs w:val="22"/>
        </w:rPr>
        <w:t xml:space="preserve"> o) a ods. 6, ods. 7 zákona č. 343/2015 Z. z. o verejnom obstarávaní a o zmene a doplnení niektorých zákonov v znení </w:t>
      </w:r>
      <w:r w:rsidR="00DC722B">
        <w:rPr>
          <w:rFonts w:ascii="Arial Narrow" w:hAnsi="Arial Narrow"/>
          <w:szCs w:val="22"/>
        </w:rPr>
        <w:t xml:space="preserve">neskorších predpisov </w:t>
      </w:r>
      <w:r w:rsidR="00700C1D">
        <w:rPr>
          <w:rFonts w:ascii="Arial Narrow" w:hAnsi="Arial Narrow"/>
          <w:szCs w:val="22"/>
        </w:rPr>
        <w:t xml:space="preserve">Z. z. </w:t>
      </w:r>
      <w:r w:rsidRPr="003E3E26">
        <w:rPr>
          <w:rFonts w:ascii="Arial Narrow" w:hAnsi="Arial Narrow"/>
          <w:szCs w:val="22"/>
        </w:rPr>
        <w:t>bežne dostupný na trhu, prieskum trhu môže žiadateľ vykonať aj na základe údajov zverejnených na elektronickom trhovisku (</w:t>
      </w:r>
      <w:hyperlink r:id="rId8" w:history="1">
        <w:r w:rsidR="003E3E26" w:rsidRPr="00F064DC">
          <w:rPr>
            <w:rStyle w:val="Hypertextovprepojenie"/>
            <w:rFonts w:ascii="Arial Narrow" w:hAnsi="Arial Narrow"/>
            <w:szCs w:val="22"/>
          </w:rPr>
          <w:t>www.eks.sk</w:t>
        </w:r>
      </w:hyperlink>
      <w:r w:rsidR="003E3E26">
        <w:rPr>
          <w:rStyle w:val="Hypertextovprepojenie"/>
          <w:rFonts w:ascii="Arial Narrow" w:hAnsi="Arial Narrow"/>
          <w:color w:val="auto"/>
          <w:szCs w:val="22"/>
        </w:rPr>
        <w:t>)</w:t>
      </w:r>
      <w:r w:rsidRPr="003E3E26">
        <w:rPr>
          <w:rFonts w:ascii="Arial Narrow" w:hAnsi="Arial Narrow"/>
          <w:szCs w:val="22"/>
        </w:rPr>
        <w:t xml:space="preserve">. V tomto prípade identifikuje </w:t>
      </w:r>
      <w:r w:rsidRPr="001370F7">
        <w:rPr>
          <w:rFonts w:ascii="Arial Narrow" w:hAnsi="Arial Narrow"/>
          <w:b/>
          <w:szCs w:val="22"/>
        </w:rPr>
        <w:t>minimálne 3 rovnaké alebo porovnateľné zákazky</w:t>
      </w:r>
      <w:r w:rsidR="001667C9">
        <w:rPr>
          <w:rFonts w:ascii="Arial Narrow" w:hAnsi="Arial Narrow"/>
          <w:szCs w:val="22"/>
        </w:rPr>
        <w:t xml:space="preserve"> </w:t>
      </w:r>
      <w:r w:rsidR="001667C9" w:rsidRPr="001667C9">
        <w:rPr>
          <w:rFonts w:ascii="Arial Narrow" w:hAnsi="Arial Narrow"/>
          <w:szCs w:val="22"/>
        </w:rPr>
        <w:t>(s ohľadom na predmet zákazky)</w:t>
      </w:r>
      <w:r w:rsidRPr="003E3E26">
        <w:rPr>
          <w:rFonts w:ascii="Arial Narrow" w:hAnsi="Arial Narrow"/>
          <w:szCs w:val="22"/>
        </w:rPr>
        <w:t>, ktorých priemerná hodnota</w:t>
      </w:r>
      <w:r w:rsidR="001779AB">
        <w:rPr>
          <w:rFonts w:ascii="Arial Narrow" w:hAnsi="Arial Narrow"/>
          <w:szCs w:val="22"/>
        </w:rPr>
        <w:t xml:space="preserve"> môže slúžiť ako ukazovateľ na overenie</w:t>
      </w:r>
      <w:r w:rsidRPr="003E3E26">
        <w:rPr>
          <w:rFonts w:ascii="Arial Narrow" w:hAnsi="Arial Narrow"/>
          <w:szCs w:val="22"/>
        </w:rPr>
        <w:t xml:space="preserve"> hospodárnos</w:t>
      </w:r>
      <w:r w:rsidR="001779AB">
        <w:rPr>
          <w:rFonts w:ascii="Arial Narrow" w:hAnsi="Arial Narrow"/>
          <w:szCs w:val="22"/>
        </w:rPr>
        <w:t>ti</w:t>
      </w:r>
      <w:r w:rsidRPr="003E3E26">
        <w:rPr>
          <w:rFonts w:ascii="Arial Narrow" w:hAnsi="Arial Narrow"/>
          <w:szCs w:val="22"/>
        </w:rPr>
        <w:t xml:space="preserve"> výdavku požadovaného žiadateľom.</w:t>
      </w:r>
    </w:p>
    <w:p w14:paraId="12667B1D" w14:textId="01E5D44D" w:rsidR="001779AB" w:rsidRPr="001779AB" w:rsidRDefault="00DE35D6" w:rsidP="001779AB">
      <w:pPr>
        <w:pStyle w:val="Zkladntext"/>
        <w:keepNext/>
        <w:keepLines/>
        <w:spacing w:before="120"/>
        <w:rPr>
          <w:rFonts w:ascii="Arial Narrow" w:eastAsia="Calibri" w:hAnsi="Arial Narrow" w:cs="Calibri"/>
          <w:bCs/>
          <w:szCs w:val="22"/>
          <w:lang w:eastAsia="cs-CZ"/>
        </w:rPr>
      </w:pPr>
      <w:r>
        <w:rPr>
          <w:rFonts w:ascii="Arial Narrow" w:eastAsia="Calibri" w:hAnsi="Arial Narrow" w:cs="Calibri"/>
          <w:bCs/>
          <w:szCs w:val="22"/>
          <w:lang w:eastAsia="cs-CZ"/>
        </w:rPr>
        <w:t>RO/</w:t>
      </w:r>
      <w:r w:rsidR="001779AB">
        <w:rPr>
          <w:rFonts w:ascii="Arial Narrow" w:eastAsia="Calibri" w:hAnsi="Arial Narrow" w:cs="Calibri"/>
          <w:bCs/>
          <w:szCs w:val="22"/>
          <w:lang w:eastAsia="cs-CZ"/>
        </w:rPr>
        <w:t>SO/</w:t>
      </w:r>
      <w:r w:rsidR="001779AB" w:rsidRPr="001779AB">
        <w:rPr>
          <w:rFonts w:ascii="Arial Narrow" w:eastAsia="Calibri" w:hAnsi="Arial Narrow" w:cs="Calibri"/>
          <w:bCs/>
          <w:szCs w:val="22"/>
          <w:lang w:eastAsia="cs-CZ"/>
        </w:rPr>
        <w:t>žiadateľ/prijímateľ/odborný hodnotiteľ je oprávnený vykonať prieskum trhu aj identifikáciou min. 3 zmlúv, zverejnených v Centrálnom registri zmlúv, na webovom sídle povinnej osoby alebo v Obchodnom vestníku (identifikácia zverejnených zmlúv musí obsahovať rovnaký, resp. porovnateľný predmet zmluvy).</w:t>
      </w:r>
    </w:p>
    <w:p w14:paraId="7030BFFB" w14:textId="008DC5E1" w:rsidR="001779AB" w:rsidRPr="001779AB" w:rsidRDefault="001779AB" w:rsidP="001779AB">
      <w:pPr>
        <w:pStyle w:val="Zkladntext"/>
        <w:spacing w:before="120" w:after="120"/>
        <w:rPr>
          <w:rFonts w:ascii="Arial Narrow" w:hAnsi="Arial Narrow"/>
          <w:szCs w:val="22"/>
        </w:rPr>
      </w:pPr>
      <w:r w:rsidRPr="001779AB">
        <w:rPr>
          <w:rFonts w:ascii="Arial Narrow" w:eastAsia="Calibri" w:hAnsi="Arial Narrow" w:cs="Calibri"/>
          <w:bCs/>
          <w:szCs w:val="22"/>
          <w:lang w:eastAsia="cs-CZ"/>
        </w:rPr>
        <w:t xml:space="preserve">V prípadoch ak je overená hospodárnosť na základe zmlúv, ktoré boli výsledkom postupu s využitím elektronického trhoviska alebo na základe zmlúv zverejnených v CRZ, </w:t>
      </w:r>
      <w:r w:rsidRPr="001779AB">
        <w:rPr>
          <w:rFonts w:ascii="Arial Narrow" w:eastAsia="Calibri" w:hAnsi="Arial Narrow" w:cs="Calibri"/>
          <w:b/>
          <w:bCs/>
          <w:szCs w:val="22"/>
          <w:lang w:eastAsia="cs-CZ"/>
        </w:rPr>
        <w:t>zmluvy musia byť stále platné ku dňu realizácie prieskumu trhu alebo nie staršie ako 6 mesiacov ku dňu realizácie prieskumu trhu.</w:t>
      </w:r>
    </w:p>
    <w:p w14:paraId="0B74DE86" w14:textId="275C3046" w:rsidR="00513914" w:rsidRPr="00C03D45" w:rsidRDefault="00194F1D" w:rsidP="009D0325">
      <w:pPr>
        <w:pStyle w:val="Zkladntext"/>
        <w:spacing w:before="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Výstupné informácie o vykonanom prieskume trhu sú zaznamenané v zázname o vykonaní prieskumu trhu</w:t>
      </w:r>
      <w:r w:rsidR="00772576">
        <w:rPr>
          <w:rStyle w:val="Odkaznapoznmkupodiarou"/>
          <w:rFonts w:ascii="Arial Narrow" w:hAnsi="Arial Narrow"/>
          <w:szCs w:val="22"/>
        </w:rPr>
        <w:footnoteReference w:id="20"/>
      </w:r>
      <w:r w:rsidRPr="00C03D45">
        <w:rPr>
          <w:rFonts w:ascii="Arial Narrow" w:hAnsi="Arial Narrow"/>
          <w:szCs w:val="22"/>
        </w:rPr>
        <w:t>, v ktorom sú vyhodnotené výsledky prieskumu trhu</w:t>
      </w:r>
      <w:r w:rsidR="00B06D6B">
        <w:rPr>
          <w:rFonts w:ascii="Arial Narrow" w:hAnsi="Arial Narrow"/>
          <w:szCs w:val="22"/>
        </w:rPr>
        <w:t xml:space="preserve">, </w:t>
      </w:r>
      <w:r w:rsidR="00B06D6B" w:rsidRPr="00B06D6B">
        <w:rPr>
          <w:rFonts w:ascii="Arial Narrow" w:eastAsia="Calibri" w:hAnsi="Arial Narrow" w:cs="Calibri"/>
          <w:bCs/>
          <w:szCs w:val="22"/>
          <w:lang w:eastAsia="cs-CZ"/>
        </w:rPr>
        <w:t>t.j. hodnota získaná aritmetickým priemerom porovnateľných ponúk.</w:t>
      </w:r>
    </w:p>
    <w:p w14:paraId="0C37DC70" w14:textId="0A99D146" w:rsidR="00194F1D" w:rsidRPr="001370F7" w:rsidRDefault="00194F1D" w:rsidP="00513914">
      <w:pPr>
        <w:pStyle w:val="Zkladntext"/>
        <w:spacing w:before="120" w:after="120"/>
        <w:rPr>
          <w:rFonts w:ascii="Arial Narrow" w:hAnsi="Arial Narrow"/>
          <w:b/>
          <w:szCs w:val="22"/>
        </w:rPr>
      </w:pPr>
      <w:r w:rsidRPr="001370F7">
        <w:rPr>
          <w:rFonts w:ascii="Arial Narrow" w:hAnsi="Arial Narrow"/>
          <w:b/>
          <w:szCs w:val="22"/>
        </w:rPr>
        <w:t xml:space="preserve">Prieskum trhu vykonáva </w:t>
      </w:r>
      <w:r w:rsidR="009543F6" w:rsidRPr="001370F7">
        <w:rPr>
          <w:rFonts w:ascii="Arial Narrow" w:hAnsi="Arial Narrow"/>
          <w:b/>
          <w:szCs w:val="22"/>
        </w:rPr>
        <w:t>RO/</w:t>
      </w:r>
      <w:r w:rsidR="00777BF0" w:rsidRPr="001370F7">
        <w:rPr>
          <w:rFonts w:ascii="Arial Narrow" w:hAnsi="Arial Narrow"/>
          <w:b/>
          <w:szCs w:val="22"/>
        </w:rPr>
        <w:t>SO</w:t>
      </w:r>
      <w:r w:rsidRPr="001370F7">
        <w:rPr>
          <w:rFonts w:ascii="Arial Narrow" w:hAnsi="Arial Narrow"/>
          <w:b/>
          <w:szCs w:val="22"/>
        </w:rPr>
        <w:t xml:space="preserve"> </w:t>
      </w:r>
      <w:r w:rsidR="009D0325" w:rsidRPr="001370F7">
        <w:rPr>
          <w:rFonts w:ascii="Arial Narrow" w:hAnsi="Arial Narrow"/>
          <w:b/>
          <w:szCs w:val="22"/>
        </w:rPr>
        <w:t xml:space="preserve">a/alebo odborný hodnotiteľ </w:t>
      </w:r>
      <w:r w:rsidRPr="001370F7">
        <w:rPr>
          <w:rFonts w:ascii="Arial Narrow" w:hAnsi="Arial Narrow"/>
          <w:b/>
          <w:szCs w:val="22"/>
        </w:rPr>
        <w:t>za využitia napr.:</w:t>
      </w:r>
    </w:p>
    <w:p w14:paraId="56106AC9" w14:textId="77777777" w:rsidR="00194F1D" w:rsidRPr="00C03D45" w:rsidRDefault="00194F1D" w:rsidP="00836C4C">
      <w:pPr>
        <w:pStyle w:val="Zoznamsodrkami"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vlastnej databázy o tovaroch, prácach alebo službách;</w:t>
      </w:r>
    </w:p>
    <w:p w14:paraId="4EDD8067" w14:textId="354747CA" w:rsidR="00194F1D" w:rsidRPr="00C03D45" w:rsidRDefault="00194F1D" w:rsidP="00836C4C">
      <w:pPr>
        <w:pStyle w:val="Zoznamsodrkami"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cien tovarov, prác a služieb v programovom období 2007</w:t>
      </w:r>
      <w:r w:rsidR="00DC722B">
        <w:rPr>
          <w:rFonts w:ascii="Arial Narrow" w:hAnsi="Arial Narrow"/>
          <w:szCs w:val="22"/>
        </w:rPr>
        <w:t xml:space="preserve"> –</w:t>
      </w:r>
      <w:r w:rsidRPr="00C03D45">
        <w:rPr>
          <w:rFonts w:ascii="Arial Narrow" w:hAnsi="Arial Narrow"/>
          <w:szCs w:val="22"/>
        </w:rPr>
        <w:t>2013</w:t>
      </w:r>
      <w:r w:rsidR="00422C58">
        <w:rPr>
          <w:rFonts w:ascii="Arial Narrow" w:hAnsi="Arial Narrow"/>
          <w:szCs w:val="22"/>
        </w:rPr>
        <w:t xml:space="preserve"> (ak relevantné) </w:t>
      </w:r>
      <w:r w:rsidR="00700C1D">
        <w:rPr>
          <w:rFonts w:ascii="Arial Narrow" w:hAnsi="Arial Narrow"/>
          <w:szCs w:val="22"/>
        </w:rPr>
        <w:t>alebo v programovom období 2014 – 2020;</w:t>
      </w:r>
    </w:p>
    <w:p w14:paraId="2293D207" w14:textId="77777777" w:rsidR="00194F1D" w:rsidRPr="00C03D45" w:rsidRDefault="00194F1D" w:rsidP="00836C4C">
      <w:pPr>
        <w:pStyle w:val="Zoznamsodrkami"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oslovenia potenciálnych dodávateľov;</w:t>
      </w:r>
    </w:p>
    <w:p w14:paraId="1BED0B85" w14:textId="77777777" w:rsidR="00194F1D" w:rsidRPr="00C03D45" w:rsidRDefault="00194F1D" w:rsidP="00836C4C">
      <w:pPr>
        <w:pStyle w:val="Zoznamsodrkami"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vyhľadávania cien na internete;</w:t>
      </w:r>
    </w:p>
    <w:p w14:paraId="6FDFB0E6" w14:textId="6CA304FB" w:rsidR="00194F1D" w:rsidRDefault="00194F1D" w:rsidP="00836C4C">
      <w:pPr>
        <w:pStyle w:val="Zoznamsodrkami"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využívaním údajov</w:t>
      </w:r>
      <w:r w:rsidR="00422C58">
        <w:rPr>
          <w:rFonts w:ascii="Arial Narrow" w:hAnsi="Arial Narrow"/>
          <w:szCs w:val="22"/>
        </w:rPr>
        <w:t xml:space="preserve"> o cenách zákaziek</w:t>
      </w:r>
      <w:r w:rsidRPr="00C03D45">
        <w:rPr>
          <w:rFonts w:ascii="Arial Narrow" w:hAnsi="Arial Narrow"/>
          <w:szCs w:val="22"/>
        </w:rPr>
        <w:t xml:space="preserve"> zverejnených na elektronickom trhovisku;</w:t>
      </w:r>
    </w:p>
    <w:p w14:paraId="7392619C" w14:textId="77777777" w:rsidR="00194F1D" w:rsidRDefault="00194F1D" w:rsidP="00836C4C">
      <w:pPr>
        <w:pStyle w:val="Zoznamsodrkami"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aktuálnych cenníkov a katalógov firiem, resp. iných propagačných materiálov;</w:t>
      </w:r>
    </w:p>
    <w:p w14:paraId="30EC3A67" w14:textId="77777777" w:rsidR="00143239" w:rsidRDefault="00143239" w:rsidP="00143239">
      <w:pPr>
        <w:pStyle w:val="Zoznamsodrkami"/>
        <w:keepNext/>
        <w:keepLines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143239">
        <w:rPr>
          <w:rFonts w:ascii="Arial Narrow" w:eastAsia="Calibri" w:hAnsi="Arial Narrow" w:cs="Calibri"/>
          <w:bCs/>
          <w:szCs w:val="22"/>
          <w:lang w:eastAsia="cs-CZ"/>
        </w:rPr>
        <w:t xml:space="preserve">identifikácie zmlúv </w:t>
      </w:r>
      <w:r w:rsidRPr="00143239">
        <w:rPr>
          <w:rFonts w:ascii="Arial Narrow" w:eastAsia="Calibri" w:hAnsi="Arial Narrow" w:cs="Calibri"/>
          <w:b/>
          <w:bCs/>
          <w:szCs w:val="22"/>
          <w:lang w:eastAsia="cs-CZ"/>
        </w:rPr>
        <w:t>na rovnaký alebo porovnateľný predmet zmluvy</w:t>
      </w:r>
      <w:r w:rsidRPr="00143239">
        <w:rPr>
          <w:rFonts w:ascii="Arial Narrow" w:eastAsia="Calibri" w:hAnsi="Arial Narrow" w:cs="Calibri"/>
          <w:bCs/>
          <w:szCs w:val="22"/>
          <w:lang w:eastAsia="cs-CZ"/>
        </w:rPr>
        <w:t xml:space="preserve"> v CRZ, na webovom sídle povinnej osoby alebo v Obchodnom vestníku</w:t>
      </w:r>
      <w:r>
        <w:rPr>
          <w:rFonts w:ascii="Arial Narrow" w:eastAsia="Calibri" w:hAnsi="Arial Narrow" w:cs="Calibri"/>
          <w:bCs/>
          <w:szCs w:val="22"/>
          <w:lang w:eastAsia="cs-CZ"/>
        </w:rPr>
        <w:t>;</w:t>
      </w:r>
    </w:p>
    <w:p w14:paraId="51B799D4" w14:textId="2C98DE6B" w:rsidR="00194F1D" w:rsidRPr="00143239" w:rsidRDefault="00143239" w:rsidP="00143239">
      <w:pPr>
        <w:pStyle w:val="Zoznamsodrkami"/>
        <w:keepNext/>
        <w:keepLines/>
        <w:numPr>
          <w:ilvl w:val="0"/>
          <w:numId w:val="39"/>
        </w:numPr>
        <w:spacing w:before="60" w:after="0"/>
        <w:rPr>
          <w:rFonts w:ascii="Arial Narrow" w:hAnsi="Arial Narrow"/>
          <w:szCs w:val="22"/>
        </w:rPr>
      </w:pPr>
      <w:r w:rsidRPr="00143239">
        <w:rPr>
          <w:rFonts w:ascii="Arial Narrow" w:hAnsi="Arial Narrow"/>
          <w:szCs w:val="22"/>
        </w:rPr>
        <w:t xml:space="preserve">osobným zisťovaním </w:t>
      </w:r>
      <w:r w:rsidRPr="00143239">
        <w:rPr>
          <w:rFonts w:ascii="Arial Narrow" w:eastAsia="Calibri" w:hAnsi="Arial Narrow" w:cs="Calibri"/>
          <w:bCs/>
          <w:szCs w:val="22"/>
          <w:lang w:eastAsia="cs-CZ"/>
        </w:rPr>
        <w:t>s následným vyhotovením zápisu z osobného stretnutia s uvedením kontaktnej osoby dodávateľa.</w:t>
      </w:r>
    </w:p>
    <w:p w14:paraId="2E3D6E23" w14:textId="50F77700" w:rsidR="00917242" w:rsidRPr="00C03D45" w:rsidRDefault="00194F1D" w:rsidP="00917242">
      <w:pPr>
        <w:pStyle w:val="Zoznamsodrkami"/>
        <w:numPr>
          <w:ilvl w:val="0"/>
          <w:numId w:val="0"/>
        </w:numPr>
        <w:spacing w:before="120" w:after="120"/>
        <w:rPr>
          <w:rFonts w:ascii="Arial Narrow" w:hAnsi="Arial Narrow"/>
          <w:szCs w:val="22"/>
        </w:rPr>
      </w:pPr>
      <w:r w:rsidRPr="00C03D45">
        <w:rPr>
          <w:rFonts w:ascii="Arial Narrow" w:hAnsi="Arial Narrow"/>
          <w:szCs w:val="22"/>
        </w:rPr>
        <w:t>RO</w:t>
      </w:r>
      <w:r w:rsidR="00777BF0" w:rsidRPr="00C03D45">
        <w:rPr>
          <w:rFonts w:ascii="Arial Narrow" w:hAnsi="Arial Narrow"/>
          <w:szCs w:val="22"/>
        </w:rPr>
        <w:t>/SO</w:t>
      </w:r>
      <w:r w:rsidRPr="00C03D45">
        <w:rPr>
          <w:rFonts w:ascii="Arial Narrow" w:hAnsi="Arial Narrow"/>
          <w:szCs w:val="22"/>
        </w:rPr>
        <w:t xml:space="preserve"> v prípade, ak výška výdavkov nárokovaných žiadateľom/prijímateľom prevyšuje ceny identifikované RO</w:t>
      </w:r>
      <w:r w:rsidR="00777BF0" w:rsidRPr="00C03D45">
        <w:rPr>
          <w:rFonts w:ascii="Arial Narrow" w:hAnsi="Arial Narrow"/>
          <w:szCs w:val="22"/>
        </w:rPr>
        <w:t>/SO</w:t>
      </w:r>
      <w:r w:rsidRPr="00C03D45">
        <w:rPr>
          <w:rFonts w:ascii="Arial Narrow" w:hAnsi="Arial Narrow"/>
          <w:szCs w:val="22"/>
        </w:rPr>
        <w:t xml:space="preserve"> na základe ním vykonaného prieskumu trhu, určí či tieto výdavky pokladá za nehospodárne, ak áno, tak maximálna výška oprávnených výdavkov jednotkových cien žiadateľa/prijímateľa je výška oprávnených výdavkov stanovená RO</w:t>
      </w:r>
      <w:r w:rsidR="00777BF0" w:rsidRPr="00C03D45">
        <w:rPr>
          <w:rFonts w:ascii="Arial Narrow" w:hAnsi="Arial Narrow"/>
          <w:szCs w:val="22"/>
        </w:rPr>
        <w:t>/SO</w:t>
      </w:r>
      <w:r w:rsidRPr="00C03D45">
        <w:rPr>
          <w:rFonts w:ascii="Arial Narrow" w:hAnsi="Arial Narrow"/>
          <w:szCs w:val="22"/>
        </w:rPr>
        <w:t xml:space="preserve"> na základe ním vykonaného prieskumu trhu</w:t>
      </w:r>
      <w:r w:rsidRPr="00C03D45">
        <w:rPr>
          <w:rStyle w:val="Odkaznapoznmkupodiarou"/>
          <w:rFonts w:ascii="Arial Narrow" w:hAnsi="Arial Narrow"/>
          <w:szCs w:val="22"/>
        </w:rPr>
        <w:footnoteReference w:id="21"/>
      </w:r>
      <w:r w:rsidRPr="00C03D45">
        <w:rPr>
          <w:rFonts w:ascii="Arial Narrow" w:hAnsi="Arial Narrow"/>
          <w:szCs w:val="22"/>
        </w:rPr>
        <w:t>.</w:t>
      </w:r>
      <w:r w:rsidR="00576451" w:rsidRPr="00C03D45">
        <w:rPr>
          <w:rFonts w:ascii="Arial Narrow" w:hAnsi="Arial Narrow"/>
          <w:szCs w:val="22"/>
        </w:rPr>
        <w:t xml:space="preserve"> </w:t>
      </w:r>
    </w:p>
    <w:p w14:paraId="65F80396" w14:textId="616F18A3" w:rsidR="00022B91" w:rsidRPr="00C03D45" w:rsidRDefault="00194F1D" w:rsidP="00836C4C">
      <w:pPr>
        <w:pStyle w:val="Zoznamsodrkami"/>
        <w:numPr>
          <w:ilvl w:val="0"/>
          <w:numId w:val="0"/>
        </w:numPr>
        <w:spacing w:before="120" w:after="120"/>
        <w:rPr>
          <w:lang w:eastAsia="sk-SK"/>
        </w:rPr>
      </w:pPr>
      <w:r w:rsidRPr="00C03D45">
        <w:rPr>
          <w:rFonts w:ascii="Arial Narrow" w:hAnsi="Arial Narrow"/>
          <w:szCs w:val="22"/>
        </w:rPr>
        <w:t>RO</w:t>
      </w:r>
      <w:r w:rsidR="00777BF0" w:rsidRPr="00C03D45">
        <w:rPr>
          <w:rFonts w:ascii="Arial Narrow" w:hAnsi="Arial Narrow"/>
          <w:szCs w:val="22"/>
        </w:rPr>
        <w:t>/SO</w:t>
      </w:r>
      <w:r w:rsidRPr="00C03D45">
        <w:rPr>
          <w:rFonts w:ascii="Arial Narrow" w:hAnsi="Arial Narrow"/>
          <w:szCs w:val="22"/>
        </w:rPr>
        <w:t xml:space="preserve"> v prípade vykonania prieskumu trhu na jeho úrovni uchováva všetky podklady z vykonania prieskumu trhu spolu so závermi z vykonaného prieskumu</w:t>
      </w:r>
      <w:r w:rsidRPr="00C03D45">
        <w:rPr>
          <w:rStyle w:val="Odkaznapoznmkupodiarou"/>
          <w:rFonts w:ascii="Arial Narrow" w:hAnsi="Arial Narrow"/>
          <w:szCs w:val="22"/>
        </w:rPr>
        <w:footnoteReference w:id="22"/>
      </w:r>
      <w:r w:rsidRPr="00C03D45">
        <w:rPr>
          <w:rFonts w:ascii="Arial Narrow" w:hAnsi="Arial Narrow"/>
          <w:szCs w:val="22"/>
        </w:rPr>
        <w:t>.</w:t>
      </w:r>
    </w:p>
    <w:p w14:paraId="313749EB" w14:textId="7F997321" w:rsidR="00395937" w:rsidRPr="00C03D45" w:rsidRDefault="00395937" w:rsidP="008F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C03D45">
        <w:rPr>
          <w:rFonts w:ascii="Arial Narrow" w:eastAsia="Times New Roman" w:hAnsi="Arial Narrow" w:cs="Times New Roman"/>
          <w:b/>
          <w:lang w:eastAsia="sk-SK"/>
        </w:rPr>
        <w:t>Prieskum trhu je</w:t>
      </w:r>
      <w:r w:rsidR="00B443A3" w:rsidRPr="00C03D45">
        <w:rPr>
          <w:rFonts w:ascii="Arial Narrow" w:eastAsia="Times New Roman" w:hAnsi="Arial Narrow" w:cs="Times New Roman"/>
          <w:b/>
          <w:lang w:eastAsia="sk-SK"/>
        </w:rPr>
        <w:t xml:space="preserve"> p</w:t>
      </w:r>
      <w:r w:rsidRPr="00C03D45">
        <w:rPr>
          <w:rFonts w:ascii="Arial Narrow" w:eastAsia="Times New Roman" w:hAnsi="Arial Narrow" w:cs="Times New Roman"/>
          <w:b/>
          <w:lang w:eastAsia="sk-SK"/>
        </w:rPr>
        <w:t>omocný nástroj</w:t>
      </w:r>
      <w:r w:rsidR="005B4D27">
        <w:rPr>
          <w:rFonts w:ascii="Arial Narrow" w:eastAsia="Times New Roman" w:hAnsi="Arial Narrow" w:cs="Times New Roman"/>
          <w:b/>
          <w:lang w:eastAsia="sk-SK"/>
        </w:rPr>
        <w:t xml:space="preserve">, </w:t>
      </w:r>
      <w:r w:rsidR="00B443A3" w:rsidRPr="00C03D45">
        <w:rPr>
          <w:rFonts w:ascii="Arial Narrow" w:eastAsia="Times New Roman" w:hAnsi="Arial Narrow" w:cs="Times New Roman"/>
          <w:b/>
          <w:lang w:eastAsia="sk-SK"/>
        </w:rPr>
        <w:t xml:space="preserve">ktorý sa využíva pri národných </w:t>
      </w:r>
      <w:r w:rsidR="00F0117E">
        <w:rPr>
          <w:rFonts w:ascii="Arial Narrow" w:eastAsia="Times New Roman" w:hAnsi="Arial Narrow" w:cs="Times New Roman"/>
          <w:b/>
          <w:lang w:eastAsia="sk-SK"/>
        </w:rPr>
        <w:t xml:space="preserve">a veľkých </w:t>
      </w:r>
      <w:r w:rsidR="00B443A3" w:rsidRPr="00C03D45">
        <w:rPr>
          <w:rFonts w:ascii="Arial Narrow" w:eastAsia="Times New Roman" w:hAnsi="Arial Narrow" w:cs="Times New Roman"/>
          <w:b/>
          <w:lang w:eastAsia="sk-SK"/>
        </w:rPr>
        <w:t>projektoch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ako aj v prípade realizácie dopytovo-orientovaných projektov </w:t>
      </w:r>
      <w:r w:rsidR="00784E7A">
        <w:rPr>
          <w:rFonts w:ascii="Arial Narrow" w:eastAsia="Times New Roman" w:hAnsi="Arial Narrow" w:cs="Times New Roman"/>
          <w:b/>
          <w:lang w:eastAsia="sk-SK"/>
        </w:rPr>
        <w:t xml:space="preserve">PO7 OPII </w:t>
      </w:r>
      <w:r w:rsidRPr="00C03D45">
        <w:rPr>
          <w:rFonts w:ascii="Arial Narrow" w:eastAsia="Times New Roman" w:hAnsi="Arial Narrow" w:cs="Times New Roman"/>
          <w:b/>
          <w:lang w:eastAsia="sk-SK"/>
        </w:rPr>
        <w:t>pre zabezpečenie</w:t>
      </w:r>
      <w:r w:rsidR="002E52E3">
        <w:rPr>
          <w:rFonts w:ascii="Arial Narrow" w:eastAsia="Times New Roman" w:hAnsi="Arial Narrow" w:cs="Times New Roman"/>
          <w:b/>
          <w:lang w:eastAsia="sk-SK"/>
        </w:rPr>
        <w:t xml:space="preserve"> overenia</w:t>
      </w:r>
      <w:r w:rsidRPr="00C03D45">
        <w:rPr>
          <w:rFonts w:ascii="Arial Narrow" w:eastAsia="Times New Roman" w:hAnsi="Arial Narrow" w:cs="Times New Roman"/>
          <w:b/>
          <w:lang w:eastAsia="sk-SK"/>
        </w:rPr>
        <w:t xml:space="preserve"> hospodárnosti vynaložených výdavkov</w:t>
      </w:r>
      <w:r w:rsidR="00DC039D" w:rsidRPr="00C03D45">
        <w:rPr>
          <w:rFonts w:ascii="Arial Narrow" w:eastAsia="Times New Roman" w:hAnsi="Arial Narrow" w:cs="Times New Roman"/>
          <w:b/>
          <w:lang w:eastAsia="sk-SK"/>
        </w:rPr>
        <w:t>.</w:t>
      </w:r>
    </w:p>
    <w:p w14:paraId="286C12D0" w14:textId="77777777" w:rsidR="006D304A" w:rsidRDefault="006D304A" w:rsidP="007C10AC">
      <w:pPr>
        <w:pStyle w:val="Ob3"/>
      </w:pPr>
      <w:bookmarkStart w:id="20" w:name="_Toc519837305"/>
    </w:p>
    <w:p w14:paraId="2491BC81" w14:textId="47289C80" w:rsidR="00680D62" w:rsidRDefault="007C10AC" w:rsidP="007C10AC">
      <w:pPr>
        <w:pStyle w:val="Ob3"/>
      </w:pPr>
      <w:bookmarkStart w:id="21" w:name="_Toc48031518"/>
      <w:r w:rsidRPr="00C03D45">
        <w:t>3.</w:t>
      </w:r>
      <w:r w:rsidR="002E52E3">
        <w:t>7</w:t>
      </w:r>
      <w:r w:rsidR="00307276">
        <w:t xml:space="preserve"> Odborný posudok/Úkon</w:t>
      </w:r>
      <w:r w:rsidR="00680D62" w:rsidRPr="00C03D45">
        <w:t xml:space="preserve"> znalca</w:t>
      </w:r>
      <w:bookmarkEnd w:id="20"/>
      <w:bookmarkEnd w:id="21"/>
    </w:p>
    <w:p w14:paraId="429321C3" w14:textId="32A20C9D" w:rsidR="00E65926" w:rsidRPr="001370F7" w:rsidRDefault="00E65926" w:rsidP="001370F7">
      <w:p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>V každej fáze projektového cyklu je možné zo strany SO preukázať hospodárnosť výdavkov úkonom znalca podľa zákona č. 382/2004 Z. z. o znalcoch, tlmočníkoch a prekladateľoch a o zmene a doplnení niektorých zákonov v znení neskorších predpisov alebo odborným posudkom vypracovaným odborníkom</w:t>
      </w:r>
      <w:r w:rsidRPr="00E65926">
        <w:rPr>
          <w:rStyle w:val="Odkaznapoznmkupodiarou"/>
          <w:rFonts w:ascii="Arial Narrow" w:hAnsi="Arial Narrow"/>
        </w:rPr>
        <w:footnoteReference w:id="23"/>
      </w:r>
      <w:r w:rsidRPr="001370F7">
        <w:rPr>
          <w:rFonts w:ascii="Arial Narrow" w:hAnsi="Arial Narrow"/>
        </w:rPr>
        <w:t xml:space="preserve"> v príslušnej oblasti.</w:t>
      </w:r>
    </w:p>
    <w:p w14:paraId="21831EF7" w14:textId="558EACD3" w:rsidR="00E65926" w:rsidRPr="001370F7" w:rsidRDefault="00E65926" w:rsidP="001370F7">
      <w:p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 xml:space="preserve">Podklady potrebné pre výkon overenia hospodárnosti výdavkov predkladá znalcovi/odborníkovi zadávateľ. Ak znalec/odborník bude požadovať ďalšie špecifikované podklady, ktoré nie sú obsiahnuté v odovzdaných podkladoch a SO ako zadávateľ ich nemá k dispozícii, môže osloviť žiadateľa/prijímateľa s požiadavkou na doloženie týchto podkladov. Výsledkom práce znalca sú najmä znalecký posudok a jeho doplnenie, odborné stanovisko alebo potvrdenie a odborné vyjadrenie a vysvetlenie. Výsledkom práce odborníka je odborné stanovisko vyhotovené vo forme odborného posudku. </w:t>
      </w:r>
    </w:p>
    <w:p w14:paraId="3E47BD80" w14:textId="510F2E91" w:rsidR="00E65926" w:rsidRPr="001370F7" w:rsidRDefault="00E65926" w:rsidP="001370F7">
      <w:p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 xml:space="preserve">Úkon znalca alebo odborný posudok (ďalej len „posudok“) musí byť vypracovaný tak, aby bol preskúmateľný. To znamená, že musí byť vypracovaný v rozsahu, ktorý umožní preskúmať závery z neho vyplývajúce, vrátane preskúmania spôsobu, akým osoba vykonávajúca overenie hospodárnosti výdavkov dospela k stanoveniu výslednej ceny alebo potrebnosti a vhodnosti obstaraného množstva vzhľadom k reálnym potrebám projektu. V posudku sa uvedie cena, ktorú možno považovať za primeranú, vyjadrená absolútnym číslom alebo intervalom, ktorého horná hranica predstavuje maximálnu hranicu po zohľadnení všetkých osobitostí a iných špecifík súvisiacich s dodávkou posudzovaného predmetu na úrovni zákazky/logického celku. </w:t>
      </w:r>
    </w:p>
    <w:p w14:paraId="613DB42F" w14:textId="77777777" w:rsidR="00E65926" w:rsidRPr="001370F7" w:rsidRDefault="00E65926" w:rsidP="001370F7">
      <w:p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>Odborný posudok</w:t>
      </w:r>
      <w:r w:rsidRPr="00E65926">
        <w:rPr>
          <w:rStyle w:val="Odkaznapoznmkupodiarou"/>
          <w:rFonts w:ascii="Arial Narrow" w:hAnsi="Arial Narrow"/>
        </w:rPr>
        <w:footnoteReference w:id="24"/>
      </w:r>
      <w:r w:rsidRPr="001370F7">
        <w:rPr>
          <w:rFonts w:ascii="Arial Narrow" w:hAnsi="Arial Narrow"/>
        </w:rPr>
        <w:t xml:space="preserve"> musí obsahovať</w:t>
      </w:r>
      <w:r w:rsidRPr="00E65926">
        <w:rPr>
          <w:rStyle w:val="Odkaznapoznmkupodiarou"/>
          <w:rFonts w:ascii="Arial Narrow" w:hAnsi="Arial Narrow"/>
        </w:rPr>
        <w:footnoteReference w:id="25"/>
      </w:r>
      <w:r w:rsidRPr="001370F7">
        <w:rPr>
          <w:rFonts w:ascii="Arial Narrow" w:hAnsi="Arial Narrow"/>
        </w:rPr>
        <w:t xml:space="preserve">: </w:t>
      </w:r>
    </w:p>
    <w:p w14:paraId="1736635E" w14:textId="77777777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>identifikáciu aktivít alebo predmetu zákazky, ktorý je predmetom overenia hospodárnosti</w:t>
      </w:r>
      <w:r w:rsidRPr="00E65926">
        <w:rPr>
          <w:rStyle w:val="Odkaznapoznmkupodiarou"/>
          <w:rFonts w:ascii="Arial Narrow" w:hAnsi="Arial Narrow"/>
        </w:rPr>
        <w:footnoteReference w:id="26"/>
      </w:r>
      <w:r w:rsidRPr="001370F7">
        <w:rPr>
          <w:rFonts w:ascii="Arial Narrow" w:hAnsi="Arial Narrow"/>
        </w:rPr>
        <w:t xml:space="preserve"> spolu s identifikáciou kódu a názvu projektu, ku ktorému sa vzťahuje, </w:t>
      </w:r>
    </w:p>
    <w:p w14:paraId="1C8EBD08" w14:textId="77777777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 xml:space="preserve">zoznam podkladov, ktoré boli osobe vykonávajúcej overenie hospodárnosti výdavkov poskytnuté zo strany zadávateľa, </w:t>
      </w:r>
    </w:p>
    <w:p w14:paraId="2AF69202" w14:textId="77777777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 xml:space="preserve">identifikáciu zdrojov, ktoré boli použité pre stanovenie ceny, ktorá je primeraná – podstatné zdroje môžu byť k posudku priložené ako príloha, na ktoré bude posudok len odkazovať, pričom v prípade, ak bol odborný posudok vypracovaný znalcom, znaleckým ústavom alebo znaleckou organizáciou s využitím odborného odhadu, sa identifikácia zdrojov podľa tohto bodu osobitne neuvádza, </w:t>
      </w:r>
    </w:p>
    <w:p w14:paraId="504C0FBF" w14:textId="77777777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>stručný popis postupu zisťovania ceny,</w:t>
      </w:r>
    </w:p>
    <w:p w14:paraId="1104F4FF" w14:textId="77777777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>cena ktorá je primeraná</w:t>
      </w:r>
      <w:r w:rsidRPr="00E65926">
        <w:rPr>
          <w:rStyle w:val="Odkaznapoznmkupodiarou"/>
          <w:rFonts w:ascii="Arial Narrow" w:hAnsi="Arial Narrow"/>
        </w:rPr>
        <w:footnoteReference w:id="27"/>
      </w:r>
      <w:r w:rsidRPr="001370F7">
        <w:rPr>
          <w:rFonts w:ascii="Arial Narrow" w:hAnsi="Arial Narrow"/>
        </w:rPr>
        <w:t xml:space="preserve"> v danom mieste a čase, a je vyjadrená absolútnym číslom, alebo intervalom,</w:t>
      </w:r>
    </w:p>
    <w:p w14:paraId="06378F9D" w14:textId="77777777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 xml:space="preserve">odôvodnenie výšky určenej ceny, ktorá je primeraná, s osobitným dôrazom na vplyv osobitostí súvisiacich s posudzovaným tovarom/službou/prácou na výšku ceny (aplikuje sa len v prípade, ak nastal výrazný časový rozdiel medzi napr. VO a obdobím, kedy odborník spracováva posudok), </w:t>
      </w:r>
    </w:p>
    <w:p w14:paraId="1C8D3D9F" w14:textId="55CADD1A" w:rsidR="00E65926" w:rsidRPr="001370F7" w:rsidRDefault="00E65926" w:rsidP="001370F7">
      <w:pPr>
        <w:pStyle w:val="Odsekzoznamu"/>
        <w:numPr>
          <w:ilvl w:val="0"/>
          <w:numId w:val="51"/>
        </w:numPr>
        <w:spacing w:before="120" w:after="120" w:line="240" w:lineRule="auto"/>
        <w:jc w:val="both"/>
        <w:rPr>
          <w:rFonts w:ascii="Arial Narrow" w:hAnsi="Arial Narrow"/>
        </w:rPr>
      </w:pPr>
      <w:r w:rsidRPr="001370F7">
        <w:rPr>
          <w:rFonts w:ascii="Arial Narrow" w:hAnsi="Arial Narrow"/>
        </w:rPr>
        <w:t>identifikáciu os</w:t>
      </w:r>
      <w:r w:rsidR="00EC3D64" w:rsidRPr="001370F7">
        <w:rPr>
          <w:rFonts w:ascii="Arial Narrow" w:hAnsi="Arial Narrow"/>
        </w:rPr>
        <w:t xml:space="preserve">oby, ktorá vypracovala znalecký alebo </w:t>
      </w:r>
      <w:r w:rsidRPr="001370F7">
        <w:rPr>
          <w:rFonts w:ascii="Arial Narrow" w:hAnsi="Arial Narrow"/>
        </w:rPr>
        <w:t xml:space="preserve">odborný posudok vrátane podpisu a dátumu vyhotovenia posudku. </w:t>
      </w:r>
    </w:p>
    <w:p w14:paraId="6290FFAA" w14:textId="77777777" w:rsidR="00360E38" w:rsidRDefault="00360E38" w:rsidP="00360E38">
      <w:pPr>
        <w:pStyle w:val="Odsekzoznamu"/>
        <w:spacing w:before="120" w:after="120" w:line="240" w:lineRule="auto"/>
        <w:jc w:val="both"/>
        <w:rPr>
          <w:rFonts w:ascii="Arial Narrow" w:hAnsi="Arial Narrow"/>
        </w:rPr>
      </w:pPr>
    </w:p>
    <w:p w14:paraId="3F64047D" w14:textId="128FEBFF" w:rsidR="00360E38" w:rsidRPr="001370F7" w:rsidRDefault="00360E38" w:rsidP="001370F7">
      <w:pPr>
        <w:keepNext/>
        <w:spacing w:before="120"/>
        <w:jc w:val="both"/>
        <w:rPr>
          <w:rFonts w:ascii="Arial Narrow" w:hAnsi="Arial Narrow"/>
          <w:szCs w:val="20"/>
          <w:lang w:eastAsia="cs-CZ"/>
        </w:rPr>
      </w:pPr>
      <w:r w:rsidRPr="001370F7">
        <w:rPr>
          <w:rFonts w:ascii="Arial Narrow" w:hAnsi="Arial Narrow"/>
          <w:szCs w:val="20"/>
          <w:lang w:eastAsia="cs-CZ"/>
        </w:rPr>
        <w:t>Výdavky, ktoré budú vyššie ako je cena stanovená znaleckým alebo odborným posudkom, budú pov</w:t>
      </w:r>
      <w:r w:rsidR="00CF2C94" w:rsidRPr="001370F7">
        <w:rPr>
          <w:rFonts w:ascii="Arial Narrow" w:hAnsi="Arial Narrow"/>
          <w:szCs w:val="20"/>
          <w:lang w:eastAsia="cs-CZ"/>
        </w:rPr>
        <w:t xml:space="preserve">ažované za neoprávnené. SO </w:t>
      </w:r>
      <w:r w:rsidRPr="001370F7">
        <w:rPr>
          <w:rFonts w:ascii="Arial Narrow" w:hAnsi="Arial Narrow"/>
          <w:szCs w:val="20"/>
          <w:lang w:eastAsia="cs-CZ"/>
        </w:rPr>
        <w:t>v takom prípade zníži oprávnené výdavky projektu o časť výdavkov, ktoré boli identifikované ako neoprávnené z dôvodu prekročenia ceny stanovenej znaleckým alebo odborným posudkom.</w:t>
      </w:r>
    </w:p>
    <w:p w14:paraId="24D23223" w14:textId="1E8A04D1" w:rsidR="00307276" w:rsidRPr="00C03D45" w:rsidRDefault="00EC3D64" w:rsidP="007C10AC">
      <w:pPr>
        <w:pStyle w:val="Ob3"/>
      </w:pPr>
      <w:bookmarkStart w:id="22" w:name="_Toc48031519"/>
      <w:r>
        <w:t>Úkon znalca</w:t>
      </w:r>
      <w:bookmarkEnd w:id="22"/>
    </w:p>
    <w:p w14:paraId="4B197434" w14:textId="2C6BC6F3" w:rsidR="00FC0716" w:rsidRPr="003F2877" w:rsidRDefault="003F2877" w:rsidP="00D42ADB">
      <w:pPr>
        <w:spacing w:before="120" w:after="12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/>
        </w:rPr>
        <w:t>Úkon</w:t>
      </w:r>
      <w:r w:rsidR="00FC0716" w:rsidRPr="003F2877">
        <w:rPr>
          <w:rFonts w:ascii="Arial Narrow" w:hAnsi="Arial Narrow"/>
        </w:rPr>
        <w:t xml:space="preserve"> znalca je možné uplatniť najmä v prípade podozrenia na neúmerne vysokú cenu dodávky tovaru a služieb, pri výdavkoch kde ich </w:t>
      </w:r>
      <w:r w:rsidR="00980E69" w:rsidRPr="003F2877">
        <w:rPr>
          <w:rFonts w:ascii="Arial Narrow" w:hAnsi="Arial Narrow"/>
        </w:rPr>
        <w:t>hospodárnosť nie je možné určiť inými nástrojmi a</w:t>
      </w:r>
      <w:r w:rsidR="00FC0716" w:rsidRPr="003F2877">
        <w:rPr>
          <w:rFonts w:ascii="Arial Narrow" w:hAnsi="Arial Narrow"/>
        </w:rPr>
        <w:t xml:space="preserve"> závisí od viacerých faktorov a rozsahu a charakteru projektu. Rovnako je možné tento nástroj využiť v prípade </w:t>
      </w:r>
      <w:r w:rsidR="00980E69" w:rsidRPr="003F2877">
        <w:rPr>
          <w:rFonts w:ascii="Arial Narrow" w:hAnsi="Arial Narrow"/>
        </w:rPr>
        <w:t xml:space="preserve">posudzovania </w:t>
      </w:r>
      <w:r w:rsidR="00FC0716" w:rsidRPr="003F2877">
        <w:rPr>
          <w:rFonts w:ascii="Arial Narrow" w:hAnsi="Arial Narrow"/>
        </w:rPr>
        <w:t xml:space="preserve">potreby predmetného výdavku pre projekt. </w:t>
      </w:r>
    </w:p>
    <w:p w14:paraId="3B67FF4E" w14:textId="5B24C7F1" w:rsidR="00FC0716" w:rsidRPr="00C03D45" w:rsidRDefault="003804E2" w:rsidP="00F0117E">
      <w:pPr>
        <w:spacing w:before="120" w:after="120"/>
        <w:jc w:val="both"/>
        <w:rPr>
          <w:rFonts w:ascii="Arial Narrow" w:hAnsi="Arial Narrow"/>
        </w:rPr>
      </w:pPr>
      <w:r w:rsidRPr="00C03D45">
        <w:rPr>
          <w:rFonts w:ascii="Arial Narrow" w:hAnsi="Arial Narrow"/>
        </w:rPr>
        <w:t>Minimálne</w:t>
      </w:r>
      <w:r w:rsidR="00FC0716" w:rsidRPr="00C03D45">
        <w:rPr>
          <w:rFonts w:ascii="Arial Narrow" w:hAnsi="Arial Narrow"/>
        </w:rPr>
        <w:t xml:space="preserve"> požiadavky na znalca sú nasledovné:</w:t>
      </w:r>
    </w:p>
    <w:p w14:paraId="15E0B09B" w14:textId="3934BE7C" w:rsidR="00FC0716" w:rsidRPr="00CF2C94" w:rsidRDefault="00CF2C94" w:rsidP="00CF2C94">
      <w:pPr>
        <w:pStyle w:val="Odsekzoznamu"/>
        <w:numPr>
          <w:ilvl w:val="0"/>
          <w:numId w:val="47"/>
        </w:numPr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FC0716" w:rsidRPr="00CF2C94">
        <w:rPr>
          <w:rFonts w:ascii="Arial Narrow" w:hAnsi="Arial Narrow"/>
        </w:rPr>
        <w:t>fyzick</w:t>
      </w:r>
      <w:r>
        <w:rPr>
          <w:rFonts w:ascii="Arial Narrow" w:hAnsi="Arial Narrow"/>
        </w:rPr>
        <w:t>á</w:t>
      </w:r>
      <w:r w:rsidR="00FC0716" w:rsidRPr="00CF2C94">
        <w:rPr>
          <w:rFonts w:ascii="Arial Narrow" w:hAnsi="Arial Narrow"/>
        </w:rPr>
        <w:t xml:space="preserve"> osob</w:t>
      </w:r>
      <w:r>
        <w:rPr>
          <w:rFonts w:ascii="Arial Narrow" w:hAnsi="Arial Narrow"/>
        </w:rPr>
        <w:t>a</w:t>
      </w:r>
      <w:r w:rsidR="00FC0716" w:rsidRPr="00CF2C94">
        <w:rPr>
          <w:rFonts w:ascii="Arial Narrow" w:hAnsi="Arial Narrow"/>
        </w:rPr>
        <w:t>, ktorá</w:t>
      </w:r>
      <w:r>
        <w:rPr>
          <w:rFonts w:ascii="Arial Narrow" w:hAnsi="Arial Narrow"/>
        </w:rPr>
        <w:t xml:space="preserve"> je</w:t>
      </w:r>
    </w:p>
    <w:p w14:paraId="200C0911" w14:textId="42306EBC" w:rsidR="003F2877" w:rsidRPr="003F2877" w:rsidRDefault="003F2877" w:rsidP="00CF2C94">
      <w:pPr>
        <w:pStyle w:val="Odsekzoznamu"/>
        <w:spacing w:after="120"/>
        <w:ind w:left="1134"/>
        <w:jc w:val="both"/>
        <w:rPr>
          <w:rFonts w:ascii="Arial Narrow" w:hAnsi="Arial Narrow" w:cs="ITCBookmanEE"/>
        </w:rPr>
      </w:pPr>
      <w:r w:rsidRPr="003F2877">
        <w:rPr>
          <w:rFonts w:ascii="Arial Narrow" w:hAnsi="Arial Narrow" w:cs="ITCBookmanEE"/>
        </w:rPr>
        <w:t>zapísaná v zozname znalcov vedenom Ministerstvom spravodlivosti SR v odbore "100000 - Elektrotechnika" pre odvetvia:</w:t>
      </w:r>
    </w:p>
    <w:p w14:paraId="08C48BD9" w14:textId="77777777" w:rsidR="003F2877" w:rsidRPr="003F2877" w:rsidRDefault="003F2877" w:rsidP="00EC3D64">
      <w:pPr>
        <w:pStyle w:val="Odsekzoznamu"/>
        <w:spacing w:before="120" w:after="0" w:line="225" w:lineRule="atLeast"/>
        <w:ind w:left="1134"/>
        <w:jc w:val="both"/>
        <w:rPr>
          <w:rFonts w:ascii="Arial Narrow" w:hAnsi="Arial Narrow" w:cs="ITCBookmanEE"/>
        </w:rPr>
      </w:pPr>
      <w:r w:rsidRPr="003F2877">
        <w:rPr>
          <w:rFonts w:ascii="Arial Narrow" w:hAnsi="Arial Narrow" w:cs="ITCBookmanEE"/>
        </w:rPr>
        <w:t>100400 - Riadiaca technika, výpočtová technika (hardvér),</w:t>
      </w:r>
    </w:p>
    <w:p w14:paraId="7735BFEC" w14:textId="77777777" w:rsidR="003F2877" w:rsidRPr="003F2877" w:rsidRDefault="003F2877" w:rsidP="00EC3D64">
      <w:pPr>
        <w:pStyle w:val="Odsekzoznamu"/>
        <w:spacing w:before="45" w:after="0" w:line="225" w:lineRule="atLeast"/>
        <w:ind w:left="1134"/>
        <w:jc w:val="both"/>
        <w:rPr>
          <w:rFonts w:ascii="Arial Narrow" w:hAnsi="Arial Narrow" w:cs="ITCBookmanEE"/>
        </w:rPr>
      </w:pPr>
      <w:r w:rsidRPr="003F2877">
        <w:rPr>
          <w:rFonts w:ascii="Arial Narrow" w:hAnsi="Arial Narrow" w:cs="ITCBookmanEE"/>
        </w:rPr>
        <w:t>100700 - Odhad hodnoty elektrotechnických zariadení a elektroniky,</w:t>
      </w:r>
    </w:p>
    <w:p w14:paraId="6410B47F" w14:textId="77777777" w:rsidR="003F2877" w:rsidRPr="003F2877" w:rsidRDefault="003F2877" w:rsidP="00EC3D64">
      <w:pPr>
        <w:pStyle w:val="Odsekzoznamu"/>
        <w:spacing w:before="45" w:after="0" w:line="225" w:lineRule="atLeast"/>
        <w:ind w:left="1134"/>
        <w:jc w:val="both"/>
        <w:rPr>
          <w:rFonts w:ascii="Arial Narrow" w:hAnsi="Arial Narrow" w:cs="ITCBookmanEE"/>
        </w:rPr>
      </w:pPr>
      <w:r w:rsidRPr="003F2877">
        <w:rPr>
          <w:rFonts w:ascii="Arial Narrow" w:hAnsi="Arial Narrow" w:cs="ITCBookmanEE"/>
        </w:rPr>
        <w:t>100800 - Nosiče zvukových a zvukovoobrazových záznamov,</w:t>
      </w:r>
    </w:p>
    <w:p w14:paraId="6FE95E66" w14:textId="77777777" w:rsidR="003F2877" w:rsidRPr="003F2877" w:rsidRDefault="003F2877" w:rsidP="00EC3D64">
      <w:pPr>
        <w:pStyle w:val="Odsekzoznamu"/>
        <w:spacing w:before="45" w:after="0" w:line="225" w:lineRule="atLeast"/>
        <w:ind w:left="1134"/>
        <w:jc w:val="both"/>
        <w:rPr>
          <w:rFonts w:ascii="Arial Narrow" w:hAnsi="Arial Narrow" w:cs="ITCBookmanEE"/>
        </w:rPr>
      </w:pPr>
      <w:r w:rsidRPr="003F2877">
        <w:rPr>
          <w:rFonts w:ascii="Arial Narrow" w:hAnsi="Arial Narrow" w:cs="ITCBookmanEE"/>
        </w:rPr>
        <w:t>100900 - Počítačové programy (softvér),</w:t>
      </w:r>
    </w:p>
    <w:p w14:paraId="66D76F54" w14:textId="31FC4614" w:rsidR="003F2877" w:rsidRDefault="003F2877" w:rsidP="00EC3D64">
      <w:pPr>
        <w:pStyle w:val="Odsekzoznamu"/>
        <w:spacing w:before="45" w:after="120" w:line="225" w:lineRule="atLeast"/>
        <w:ind w:left="1134"/>
        <w:jc w:val="both"/>
        <w:rPr>
          <w:rFonts w:ascii="Arial Narrow" w:hAnsi="Arial Narrow" w:cs="ITCBookmanEE"/>
        </w:rPr>
      </w:pPr>
      <w:r w:rsidRPr="003F2877">
        <w:rPr>
          <w:rFonts w:ascii="Arial Narrow" w:hAnsi="Arial Narrow" w:cs="ITCBookmanEE"/>
        </w:rPr>
        <w:t>101000 - Bezpečnosť a ochrana informačných systémov.</w:t>
      </w:r>
    </w:p>
    <w:p w14:paraId="36193F8A" w14:textId="2502D5D3" w:rsidR="00CF2C94" w:rsidRDefault="00CF2C94" w:rsidP="00EC3D64">
      <w:pPr>
        <w:pStyle w:val="Odsekzoznamu"/>
        <w:spacing w:before="45" w:after="120" w:line="225" w:lineRule="atLeast"/>
        <w:ind w:left="1134"/>
        <w:jc w:val="both"/>
        <w:rPr>
          <w:rFonts w:ascii="Arial Narrow" w:hAnsi="Arial Narrow" w:cs="ITCBookmanEE"/>
        </w:rPr>
      </w:pPr>
    </w:p>
    <w:p w14:paraId="78D1D8AA" w14:textId="7E184C4B" w:rsidR="00CF2C94" w:rsidRPr="003F2877" w:rsidRDefault="00CF2C94" w:rsidP="00EC3D64">
      <w:pPr>
        <w:pStyle w:val="Odsekzoznamu"/>
        <w:spacing w:before="45" w:after="120" w:line="225" w:lineRule="atLeast"/>
        <w:ind w:left="1134"/>
        <w:jc w:val="both"/>
        <w:rPr>
          <w:rFonts w:ascii="Arial Narrow" w:hAnsi="Arial Narrow" w:cs="ITCBookmanEE"/>
        </w:rPr>
      </w:pPr>
      <w:r>
        <w:rPr>
          <w:rFonts w:ascii="Arial Narrow" w:hAnsi="Arial Narrow" w:cs="ITCBookmanEE"/>
        </w:rPr>
        <w:t>alebo</w:t>
      </w:r>
    </w:p>
    <w:p w14:paraId="6D91F7F5" w14:textId="5923A647" w:rsidR="003F2877" w:rsidRPr="00D42ADB" w:rsidRDefault="00EC3D64" w:rsidP="00CF2C94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2)</w:t>
      </w:r>
      <w:r w:rsidR="00CF2C94">
        <w:rPr>
          <w:rFonts w:ascii="Arial Narrow" w:hAnsi="Arial Narrow"/>
        </w:rPr>
        <w:t xml:space="preserve"> </w:t>
      </w:r>
      <w:r w:rsidR="00CF2C94">
        <w:rPr>
          <w:rFonts w:ascii="Arial Narrow" w:hAnsi="Arial Narrow"/>
        </w:rPr>
        <w:tab/>
      </w:r>
      <w:r w:rsidR="003F2877">
        <w:rPr>
          <w:rFonts w:ascii="Arial Narrow" w:hAnsi="Arial Narrow"/>
        </w:rPr>
        <w:t>fyzick</w:t>
      </w:r>
      <w:r w:rsidR="00CF2C94">
        <w:rPr>
          <w:rFonts w:ascii="Arial Narrow" w:hAnsi="Arial Narrow"/>
        </w:rPr>
        <w:t>á</w:t>
      </w:r>
      <w:r w:rsidR="003F2877">
        <w:rPr>
          <w:rFonts w:ascii="Arial Narrow" w:hAnsi="Arial Narrow"/>
        </w:rPr>
        <w:t xml:space="preserve"> </w:t>
      </w:r>
      <w:r w:rsidR="00CF2C94">
        <w:rPr>
          <w:rFonts w:ascii="Arial Narrow" w:hAnsi="Arial Narrow"/>
        </w:rPr>
        <w:t>osoba</w:t>
      </w:r>
      <w:r w:rsidR="003F2877">
        <w:rPr>
          <w:rFonts w:ascii="Arial Narrow" w:hAnsi="Arial Narrow"/>
        </w:rPr>
        <w:t>, ktor</w:t>
      </w:r>
      <w:r w:rsidR="00CF2C94">
        <w:rPr>
          <w:rFonts w:ascii="Arial Narrow" w:hAnsi="Arial Narrow"/>
        </w:rPr>
        <w:t>á</w:t>
      </w:r>
    </w:p>
    <w:p w14:paraId="4B8055F8" w14:textId="49B36211" w:rsidR="00D42ADB" w:rsidRDefault="003F2877" w:rsidP="00CF2C94">
      <w:pPr>
        <w:pStyle w:val="Odsekzoznamu"/>
        <w:tabs>
          <w:tab w:val="left" w:pos="1276"/>
        </w:tabs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Arial Narrow" w:hAnsi="Arial Narrow" w:cs="ITCBookmanEE"/>
        </w:rPr>
      </w:pPr>
      <w:r>
        <w:rPr>
          <w:rFonts w:ascii="Arial Narrow" w:hAnsi="Arial Narrow" w:cs="ITCBookmanEE"/>
        </w:rPr>
        <w:t xml:space="preserve">a) </w:t>
      </w:r>
      <w:r w:rsidR="00CF2C94">
        <w:rPr>
          <w:rFonts w:ascii="Arial Narrow" w:hAnsi="Arial Narrow" w:cs="ITCBookmanEE"/>
        </w:rPr>
        <w:tab/>
        <w:t xml:space="preserve"> </w:t>
      </w:r>
      <w:r>
        <w:rPr>
          <w:rFonts w:ascii="Arial Narrow" w:hAnsi="Arial Narrow" w:cs="ITCBookmanEE"/>
        </w:rPr>
        <w:t>nie je zapísaná v zozname znalcov</w:t>
      </w:r>
      <w:r w:rsidR="00D42ADB">
        <w:rPr>
          <w:rStyle w:val="Odkaznapoznmkupodiarou"/>
          <w:rFonts w:ascii="Arial Narrow" w:hAnsi="Arial Narrow"/>
        </w:rPr>
        <w:footnoteReference w:id="28"/>
      </w:r>
    </w:p>
    <w:p w14:paraId="4ECA88C1" w14:textId="3D8AFF5C" w:rsidR="00FC0716" w:rsidRPr="00D42ADB" w:rsidRDefault="00D42ADB" w:rsidP="00CF2C94">
      <w:pPr>
        <w:pStyle w:val="Odsekzoznamu"/>
        <w:tabs>
          <w:tab w:val="left" w:pos="1276"/>
        </w:tabs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rFonts w:ascii="Arial Narrow" w:hAnsi="Arial Narrow" w:cs="ITCBookmanEE"/>
        </w:rPr>
      </w:pPr>
      <w:r>
        <w:rPr>
          <w:rFonts w:ascii="Arial Narrow" w:hAnsi="Arial Narrow" w:cs="ITCBookmanEE"/>
        </w:rPr>
        <w:t>b)</w:t>
      </w:r>
      <w:r w:rsidR="00CF2C94">
        <w:rPr>
          <w:rFonts w:ascii="Arial Narrow" w:hAnsi="Arial Narrow" w:cs="ITCBookmanEE"/>
        </w:rPr>
        <w:tab/>
      </w:r>
      <w:r>
        <w:rPr>
          <w:rFonts w:ascii="Arial Narrow" w:hAnsi="Arial Narrow" w:cs="ITCBookmanEE"/>
        </w:rPr>
        <w:t xml:space="preserve"> </w:t>
      </w:r>
      <w:r w:rsidR="00FC0716" w:rsidRPr="00D42ADB">
        <w:rPr>
          <w:rFonts w:ascii="Arial Narrow" w:hAnsi="Arial Narrow" w:cs="ITCBookmanEE"/>
        </w:rPr>
        <w:t>je spôsobilá na právne úkony v plnom rozsahu,</w:t>
      </w:r>
    </w:p>
    <w:p w14:paraId="4AED3658" w14:textId="654DBA94" w:rsidR="00FC0716" w:rsidRPr="00F0117E" w:rsidRDefault="00CF2C94" w:rsidP="00CF2C94">
      <w:pPr>
        <w:pStyle w:val="Odsekzoznamu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993" w:firstLine="0"/>
        <w:contextualSpacing w:val="0"/>
        <w:jc w:val="both"/>
        <w:rPr>
          <w:rFonts w:ascii="Arial Narrow" w:hAnsi="Arial Narrow" w:cs="ITCBookmanEE"/>
        </w:rPr>
      </w:pPr>
      <w:r>
        <w:rPr>
          <w:rFonts w:ascii="Arial Narrow" w:hAnsi="Arial Narrow" w:cs="ITCBookmanEE"/>
        </w:rPr>
        <w:t xml:space="preserve"> </w:t>
      </w:r>
      <w:r w:rsidR="00FC0716" w:rsidRPr="00F0117E">
        <w:rPr>
          <w:rFonts w:ascii="Arial Narrow" w:hAnsi="Arial Narrow" w:cs="ITCBookmanEE"/>
        </w:rPr>
        <w:t>je bezúhonná,</w:t>
      </w:r>
    </w:p>
    <w:p w14:paraId="094AACD5" w14:textId="377C5A70" w:rsidR="00FC0716" w:rsidRPr="00F0117E" w:rsidRDefault="00CF2C94" w:rsidP="00CF2C94">
      <w:pPr>
        <w:pStyle w:val="Odsekzoznamu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 w:val="0"/>
        <w:jc w:val="both"/>
        <w:rPr>
          <w:rFonts w:ascii="Arial Narrow" w:hAnsi="Arial Narrow" w:cs="ITCBookmanEE"/>
        </w:rPr>
      </w:pPr>
      <w:r>
        <w:rPr>
          <w:rFonts w:ascii="Arial Narrow" w:hAnsi="Arial Narrow" w:cs="ITCBookmanEE"/>
        </w:rPr>
        <w:t xml:space="preserve"> </w:t>
      </w:r>
      <w:r w:rsidR="00FC0716" w:rsidRPr="00F0117E">
        <w:rPr>
          <w:rFonts w:ascii="Arial Narrow" w:hAnsi="Arial Narrow" w:cs="ITCBookmanEE"/>
        </w:rPr>
        <w:t xml:space="preserve">získala </w:t>
      </w:r>
      <w:r w:rsidR="00543514" w:rsidRPr="00F0117E">
        <w:rPr>
          <w:rFonts w:ascii="Arial Narrow" w:hAnsi="Arial Narrow" w:cs="ITCBookmanEE"/>
        </w:rPr>
        <w:t xml:space="preserve">vysokoškolské </w:t>
      </w:r>
      <w:r w:rsidR="00FC0716" w:rsidRPr="00F0117E">
        <w:rPr>
          <w:rFonts w:ascii="Arial Narrow" w:hAnsi="Arial Narrow" w:cs="ITCBookmanEE"/>
        </w:rPr>
        <w:t xml:space="preserve">vzdelanie </w:t>
      </w:r>
      <w:r w:rsidR="00D42ADB">
        <w:rPr>
          <w:rFonts w:ascii="Arial Narrow" w:hAnsi="Arial Narrow" w:cs="ITCBookmanEE"/>
        </w:rPr>
        <w:t xml:space="preserve">minimálne </w:t>
      </w:r>
      <w:r w:rsidR="00543514" w:rsidRPr="00F0117E">
        <w:rPr>
          <w:rFonts w:ascii="Arial Narrow" w:hAnsi="Arial Narrow" w:cs="ITCBookmanEE"/>
        </w:rPr>
        <w:t xml:space="preserve">II. stupňa </w:t>
      </w:r>
      <w:r w:rsidR="00EB441B">
        <w:rPr>
          <w:rFonts w:ascii="Arial Narrow" w:hAnsi="Arial Narrow" w:cs="ITCBookmanEE"/>
        </w:rPr>
        <w:t>technického</w:t>
      </w:r>
      <w:r w:rsidR="00543514" w:rsidRPr="00F0117E">
        <w:rPr>
          <w:rFonts w:ascii="Arial Narrow" w:hAnsi="Arial Narrow" w:cs="ITCBookmanEE"/>
        </w:rPr>
        <w:t xml:space="preserve">, matematického alebo </w:t>
      </w:r>
      <w:r>
        <w:rPr>
          <w:rFonts w:ascii="Arial Narrow" w:hAnsi="Arial Narrow" w:cs="ITCBookmanEE"/>
        </w:rPr>
        <w:t xml:space="preserve"> </w:t>
      </w:r>
      <w:r w:rsidR="00543514" w:rsidRPr="00F0117E">
        <w:rPr>
          <w:rFonts w:ascii="Arial Narrow" w:hAnsi="Arial Narrow" w:cs="ITCBookmanEE"/>
        </w:rPr>
        <w:t>ekonomického smeru</w:t>
      </w:r>
      <w:r w:rsidR="00EB441B">
        <w:rPr>
          <w:rFonts w:ascii="Arial Narrow" w:hAnsi="Arial Narrow" w:cs="ITCBookmanEE"/>
        </w:rPr>
        <w:t xml:space="preserve"> so zameraním na IT, resp.</w:t>
      </w:r>
      <w:r w:rsidR="001A70B7">
        <w:rPr>
          <w:rFonts w:ascii="Arial Narrow" w:hAnsi="Arial Narrow" w:cs="ITCBookmanEE"/>
        </w:rPr>
        <w:t xml:space="preserve"> </w:t>
      </w:r>
      <w:r w:rsidR="00EB441B">
        <w:rPr>
          <w:rFonts w:ascii="Arial Narrow" w:hAnsi="Arial Narrow" w:cs="ITCBookmanEE"/>
        </w:rPr>
        <w:t>IKT technológie</w:t>
      </w:r>
      <w:r w:rsidR="00FC0716" w:rsidRPr="00F0117E">
        <w:rPr>
          <w:rFonts w:ascii="Arial Narrow" w:hAnsi="Arial Narrow" w:cs="ITCBookmanEE"/>
        </w:rPr>
        <w:t>,</w:t>
      </w:r>
    </w:p>
    <w:p w14:paraId="10D51936" w14:textId="61B29D2F" w:rsidR="00FC0716" w:rsidRPr="00F0117E" w:rsidRDefault="00543514" w:rsidP="00CF2C94">
      <w:pPr>
        <w:pStyle w:val="Odsekzoznamu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 w:val="0"/>
        <w:jc w:val="both"/>
        <w:rPr>
          <w:rFonts w:ascii="Arial Narrow" w:hAnsi="Arial Narrow" w:cs="ITCBookmanEE"/>
        </w:rPr>
      </w:pPr>
      <w:r w:rsidRPr="00F0117E">
        <w:rPr>
          <w:rFonts w:ascii="Arial Narrow" w:hAnsi="Arial Narrow" w:cs="ITCBookmanEE"/>
        </w:rPr>
        <w:t xml:space="preserve">preukázala znalosť odbornej problematiky v oblasti IT, resp. IKT (bude deklarované </w:t>
      </w:r>
      <w:r w:rsidR="001A70B7">
        <w:rPr>
          <w:rFonts w:ascii="Arial Narrow" w:hAnsi="Arial Narrow" w:cs="ITCBookmanEE"/>
        </w:rPr>
        <w:t xml:space="preserve">min. 3 </w:t>
      </w:r>
      <w:r w:rsidRPr="00F0117E">
        <w:rPr>
          <w:rFonts w:ascii="Arial Narrow" w:hAnsi="Arial Narrow" w:cs="ITCBookmanEE"/>
        </w:rPr>
        <w:t xml:space="preserve"> projekt</w:t>
      </w:r>
      <w:r w:rsidR="001A70B7">
        <w:rPr>
          <w:rFonts w:ascii="Arial Narrow" w:hAnsi="Arial Narrow" w:cs="ITCBookmanEE"/>
        </w:rPr>
        <w:t>ami</w:t>
      </w:r>
      <w:r w:rsidRPr="00F0117E">
        <w:rPr>
          <w:rFonts w:ascii="Arial Narrow" w:hAnsi="Arial Narrow" w:cs="ITCBookmanEE"/>
        </w:rPr>
        <w:t xml:space="preserve"> rozvoja v oblasti IT, resp. IKT,</w:t>
      </w:r>
      <w:r w:rsidR="00EB441B">
        <w:rPr>
          <w:rFonts w:ascii="Arial Narrow" w:hAnsi="Arial Narrow" w:cs="ITCBookmanEE"/>
        </w:rPr>
        <w:t xml:space="preserve"> </w:t>
      </w:r>
      <w:r w:rsidRPr="00F0117E">
        <w:rPr>
          <w:rFonts w:ascii="Arial Narrow" w:hAnsi="Arial Narrow" w:cs="ITCBookmanEE"/>
        </w:rPr>
        <w:t xml:space="preserve"> na ktorých spolupracovala a zároveň bude deklarované certifikátmi</w:t>
      </w:r>
      <w:r w:rsidR="00EB441B">
        <w:rPr>
          <w:rFonts w:ascii="Arial Narrow" w:hAnsi="Arial Narrow" w:cs="ITCBookmanEE"/>
        </w:rPr>
        <w:t>,</w:t>
      </w:r>
      <w:r w:rsidRPr="00F0117E">
        <w:rPr>
          <w:rFonts w:ascii="Arial Narrow" w:hAnsi="Arial Narrow" w:cs="ITCBookmanEE"/>
        </w:rPr>
        <w:t xml:space="preserve"> či už v oblasti IT projektového riadenia – napr. PRINCE 2 alebo jeho ekvivalent, prípadne v oblasti architektúry IT – napr. TOGAF alebo jeho ekvivalent)</w:t>
      </w:r>
      <w:r w:rsidR="00FC0716" w:rsidRPr="00F0117E">
        <w:rPr>
          <w:rFonts w:ascii="Arial Narrow" w:hAnsi="Arial Narrow" w:cs="ITCBookmanEE"/>
        </w:rPr>
        <w:t>,</w:t>
      </w:r>
    </w:p>
    <w:p w14:paraId="0D6CB2BE" w14:textId="5D80B48C" w:rsidR="00FC0716" w:rsidRPr="00F0117E" w:rsidRDefault="00543514" w:rsidP="001A70B7">
      <w:pPr>
        <w:pStyle w:val="Odsekzoznamu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 w:val="0"/>
        <w:jc w:val="both"/>
        <w:rPr>
          <w:rFonts w:ascii="Arial Narrow" w:hAnsi="Arial Narrow"/>
        </w:rPr>
      </w:pPr>
      <w:r w:rsidRPr="00F0117E">
        <w:rPr>
          <w:rFonts w:ascii="Arial Narrow" w:hAnsi="Arial Narrow" w:cs="ITCBookmanEE"/>
        </w:rPr>
        <w:t>vykonáva prax v oblasti IT, resp. IKT</w:t>
      </w:r>
      <w:r w:rsidR="00FC0716" w:rsidRPr="00F0117E">
        <w:rPr>
          <w:rFonts w:ascii="Arial Narrow" w:hAnsi="Arial Narrow" w:cs="ITCBookmanEE"/>
        </w:rPr>
        <w:t>, v trvaní najmenej sedem rokov</w:t>
      </w:r>
      <w:r w:rsidR="00EB441B">
        <w:rPr>
          <w:rFonts w:ascii="Arial Narrow" w:hAnsi="Arial Narrow" w:cs="ITCBookmanEE"/>
        </w:rPr>
        <w:t xml:space="preserve"> (</w:t>
      </w:r>
      <w:r w:rsidR="001A70B7">
        <w:rPr>
          <w:rFonts w:ascii="Arial Narrow" w:hAnsi="Arial Narrow" w:cs="ITCBookmanEE"/>
        </w:rPr>
        <w:t xml:space="preserve">preukazuje </w:t>
      </w:r>
      <w:r w:rsidR="00EB441B">
        <w:rPr>
          <w:rFonts w:ascii="Arial Narrow" w:hAnsi="Arial Narrow" w:cs="ITCBookmanEE"/>
        </w:rPr>
        <w:t>priložený</w:t>
      </w:r>
      <w:r w:rsidR="001A70B7">
        <w:rPr>
          <w:rFonts w:ascii="Arial Narrow" w:hAnsi="Arial Narrow" w:cs="ITCBookmanEE"/>
        </w:rPr>
        <w:t>m</w:t>
      </w:r>
      <w:r w:rsidR="00EB441B">
        <w:rPr>
          <w:rFonts w:ascii="Arial Narrow" w:hAnsi="Arial Narrow" w:cs="ITCBookmanEE"/>
        </w:rPr>
        <w:t xml:space="preserve"> životopis</w:t>
      </w:r>
      <w:r w:rsidR="001A70B7">
        <w:rPr>
          <w:rFonts w:ascii="Arial Narrow" w:hAnsi="Arial Narrow" w:cs="ITCBookmanEE"/>
        </w:rPr>
        <w:t>om</w:t>
      </w:r>
      <w:r w:rsidR="00EB441B">
        <w:rPr>
          <w:rFonts w:ascii="Arial Narrow" w:hAnsi="Arial Narrow" w:cs="ITCBookmanEE"/>
        </w:rPr>
        <w:t>)</w:t>
      </w:r>
      <w:r w:rsidR="00CF2C94">
        <w:rPr>
          <w:rFonts w:ascii="Arial Narrow" w:hAnsi="Arial Narrow" w:cs="ITCBookmanEE"/>
        </w:rPr>
        <w:t>.</w:t>
      </w:r>
    </w:p>
    <w:p w14:paraId="15D04BE7" w14:textId="71C253C3" w:rsidR="00FC0716" w:rsidRPr="00C03D45" w:rsidRDefault="00FC0716" w:rsidP="00CF2C94">
      <w:pPr>
        <w:tabs>
          <w:tab w:val="left" w:pos="1276"/>
        </w:tabs>
        <w:spacing w:after="120"/>
        <w:jc w:val="both"/>
        <w:rPr>
          <w:rFonts w:ascii="Arial Narrow" w:hAnsi="Arial Narrow" w:cs="ITCBookmanEE"/>
        </w:rPr>
      </w:pPr>
    </w:p>
    <w:p w14:paraId="5AE71139" w14:textId="5C1C2401" w:rsidR="0033071D" w:rsidRPr="00C03D45" w:rsidRDefault="00D42ADB" w:rsidP="008F2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="00360E38">
        <w:rPr>
          <w:rFonts w:ascii="Arial Narrow" w:eastAsia="Times New Roman" w:hAnsi="Arial Narrow" w:cs="Times New Roman"/>
          <w:b/>
          <w:lang w:eastAsia="sk-SK"/>
        </w:rPr>
        <w:t>Odborný posudok/</w:t>
      </w:r>
      <w:r>
        <w:rPr>
          <w:rFonts w:ascii="Arial Narrow" w:eastAsia="Times New Roman" w:hAnsi="Arial Narrow" w:cs="Times New Roman"/>
          <w:b/>
          <w:lang w:eastAsia="sk-SK"/>
        </w:rPr>
        <w:t xml:space="preserve">Úkon znalca </w:t>
      </w:r>
      <w:r w:rsidR="00360E38">
        <w:rPr>
          <w:rFonts w:ascii="Arial Narrow" w:eastAsia="Times New Roman" w:hAnsi="Arial Narrow" w:cs="Times New Roman"/>
          <w:b/>
          <w:lang w:eastAsia="sk-SK"/>
        </w:rPr>
        <w:t>sú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 xml:space="preserve"> pomocn</w:t>
      </w:r>
      <w:r w:rsidR="00360E38">
        <w:rPr>
          <w:rFonts w:ascii="Arial Narrow" w:eastAsia="Times New Roman" w:hAnsi="Arial Narrow" w:cs="Times New Roman"/>
          <w:b/>
          <w:lang w:eastAsia="sk-SK"/>
        </w:rPr>
        <w:t>é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 xml:space="preserve"> nástroj</w:t>
      </w:r>
      <w:r w:rsidR="00360E38">
        <w:rPr>
          <w:rFonts w:ascii="Arial Narrow" w:eastAsia="Times New Roman" w:hAnsi="Arial Narrow" w:cs="Times New Roman"/>
          <w:b/>
          <w:lang w:eastAsia="sk-SK"/>
        </w:rPr>
        <w:t>e,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 xml:space="preserve"> ktor</w:t>
      </w:r>
      <w:r w:rsidR="00360E38">
        <w:rPr>
          <w:rFonts w:ascii="Arial Narrow" w:eastAsia="Times New Roman" w:hAnsi="Arial Narrow" w:cs="Times New Roman"/>
          <w:b/>
          <w:lang w:eastAsia="sk-SK"/>
        </w:rPr>
        <w:t>é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 xml:space="preserve"> sa využíva</w:t>
      </w:r>
      <w:r w:rsidR="00360E38">
        <w:rPr>
          <w:rFonts w:ascii="Arial Narrow" w:eastAsia="Times New Roman" w:hAnsi="Arial Narrow" w:cs="Times New Roman"/>
          <w:b/>
          <w:lang w:eastAsia="sk-SK"/>
        </w:rPr>
        <w:t>jú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 xml:space="preserve"> pri národných projektoch ako aj v prípade realizácie dopytovo-orientovaných projektov</w:t>
      </w:r>
      <w:r w:rsidR="00784E7A">
        <w:rPr>
          <w:rFonts w:ascii="Arial Narrow" w:eastAsia="Times New Roman" w:hAnsi="Arial Narrow" w:cs="Times New Roman"/>
          <w:b/>
          <w:lang w:eastAsia="sk-SK"/>
        </w:rPr>
        <w:t xml:space="preserve"> PO7 OPII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 xml:space="preserve"> pre zabezpečenie </w:t>
      </w:r>
      <w:r>
        <w:rPr>
          <w:rFonts w:ascii="Arial Narrow" w:eastAsia="Times New Roman" w:hAnsi="Arial Narrow" w:cs="Times New Roman"/>
          <w:b/>
          <w:lang w:eastAsia="sk-SK"/>
        </w:rPr>
        <w:t xml:space="preserve">overenia </w:t>
      </w:r>
      <w:r w:rsidR="0033071D" w:rsidRPr="00C03D45">
        <w:rPr>
          <w:rFonts w:ascii="Arial Narrow" w:eastAsia="Times New Roman" w:hAnsi="Arial Narrow" w:cs="Times New Roman"/>
          <w:b/>
          <w:lang w:eastAsia="sk-SK"/>
        </w:rPr>
        <w:t>hospodárnosti vynaložených výdavkov.</w:t>
      </w:r>
    </w:p>
    <w:p w14:paraId="3E1230CE" w14:textId="068ABC6A" w:rsidR="0033071D" w:rsidRDefault="0033071D">
      <w:pPr>
        <w:rPr>
          <w:rFonts w:ascii="Arial Narrow" w:hAnsi="Arial Narrow" w:cs="ITCBookmanEE"/>
        </w:rPr>
      </w:pPr>
    </w:p>
    <w:p w14:paraId="136AD95F" w14:textId="41620E5E" w:rsidR="00662D19" w:rsidRDefault="00662D19">
      <w:pPr>
        <w:rPr>
          <w:rFonts w:ascii="Arial Narrow" w:hAnsi="Arial Narrow" w:cs="ITCBookmanEE"/>
        </w:rPr>
      </w:pPr>
    </w:p>
    <w:p w14:paraId="69CE0ADB" w14:textId="77777777" w:rsidR="00662D19" w:rsidRDefault="00662D19">
      <w:pPr>
        <w:rPr>
          <w:rFonts w:ascii="Arial Narrow" w:hAnsi="Arial Narrow" w:cs="ITCBookmanEE"/>
        </w:rPr>
      </w:pPr>
    </w:p>
    <w:p w14:paraId="23E7EEC0" w14:textId="2A9C74D0" w:rsidR="00962599" w:rsidRPr="00514108" w:rsidRDefault="00962599" w:rsidP="0033071D">
      <w:pPr>
        <w:jc w:val="both"/>
        <w:rPr>
          <w:rFonts w:ascii="Arial Narrow" w:hAnsi="Arial Narrow"/>
          <w:b/>
        </w:rPr>
      </w:pPr>
      <w:r w:rsidRPr="00514108">
        <w:rPr>
          <w:rFonts w:ascii="Arial Narrow" w:hAnsi="Arial Narrow"/>
          <w:b/>
        </w:rPr>
        <w:t>Príloh</w:t>
      </w:r>
      <w:r w:rsidR="00F0117E" w:rsidRPr="00514108">
        <w:rPr>
          <w:rFonts w:ascii="Arial Narrow" w:hAnsi="Arial Narrow"/>
          <w:b/>
        </w:rPr>
        <w:t>a</w:t>
      </w:r>
      <w:r w:rsidRPr="00514108">
        <w:rPr>
          <w:rFonts w:ascii="Arial Narrow" w:hAnsi="Arial Narrow"/>
          <w:b/>
        </w:rPr>
        <w:t>:</w:t>
      </w:r>
    </w:p>
    <w:p w14:paraId="13BF0209" w14:textId="63CB3EDC" w:rsidR="00962599" w:rsidRPr="00962599" w:rsidRDefault="00962599" w:rsidP="00962599">
      <w:pPr>
        <w:pStyle w:val="Odsekzoznamu"/>
        <w:numPr>
          <w:ilvl w:val="0"/>
          <w:numId w:val="41"/>
        </w:numPr>
        <w:jc w:val="both"/>
        <w:rPr>
          <w:rFonts w:ascii="Arial Narrow" w:hAnsi="Arial Narrow"/>
        </w:rPr>
      </w:pPr>
      <w:r w:rsidRPr="00962599">
        <w:rPr>
          <w:rFonts w:ascii="Arial Narrow" w:hAnsi="Arial Narrow"/>
        </w:rPr>
        <w:t>Vzor záznamu o vykonaní prieskumu trhu</w:t>
      </w:r>
    </w:p>
    <w:sectPr w:rsidR="00962599" w:rsidRPr="00962599" w:rsidSect="006013A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D1C84" w14:textId="77777777" w:rsidR="00B3756C" w:rsidRDefault="00B3756C" w:rsidP="00DB5D43">
      <w:pPr>
        <w:spacing w:after="0" w:line="240" w:lineRule="auto"/>
      </w:pPr>
      <w:r>
        <w:separator/>
      </w:r>
    </w:p>
  </w:endnote>
  <w:endnote w:type="continuationSeparator" w:id="0">
    <w:p w14:paraId="243E1AF2" w14:textId="77777777" w:rsidR="00B3756C" w:rsidRDefault="00B3756C" w:rsidP="00DB5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TCBookmanE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3042278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033E258D" w14:textId="2F81240C" w:rsidR="00E3449F" w:rsidRPr="0092674C" w:rsidRDefault="00E3449F">
        <w:pPr>
          <w:pStyle w:val="Pta"/>
          <w:jc w:val="right"/>
          <w:rPr>
            <w:rFonts w:ascii="Arial Narrow" w:hAnsi="Arial Narrow"/>
          </w:rPr>
        </w:pPr>
        <w:r w:rsidRPr="0092674C">
          <w:rPr>
            <w:rFonts w:ascii="Arial Narrow" w:hAnsi="Arial Narrow"/>
          </w:rPr>
          <w:fldChar w:fldCharType="begin"/>
        </w:r>
        <w:r w:rsidRPr="0092674C">
          <w:rPr>
            <w:rFonts w:ascii="Arial Narrow" w:hAnsi="Arial Narrow"/>
          </w:rPr>
          <w:instrText>PAGE   \* MERGEFORMAT</w:instrText>
        </w:r>
        <w:r w:rsidRPr="0092674C">
          <w:rPr>
            <w:rFonts w:ascii="Arial Narrow" w:hAnsi="Arial Narrow"/>
          </w:rPr>
          <w:fldChar w:fldCharType="separate"/>
        </w:r>
        <w:r w:rsidR="00D0039B">
          <w:rPr>
            <w:rFonts w:ascii="Arial Narrow" w:hAnsi="Arial Narrow"/>
            <w:noProof/>
          </w:rPr>
          <w:t>12</w:t>
        </w:r>
        <w:r w:rsidRPr="0092674C">
          <w:rPr>
            <w:rFonts w:ascii="Arial Narrow" w:hAnsi="Arial Narrow"/>
          </w:rPr>
          <w:fldChar w:fldCharType="end"/>
        </w:r>
      </w:p>
    </w:sdtContent>
  </w:sdt>
  <w:p w14:paraId="7E7022D9" w14:textId="77777777" w:rsidR="00E3449F" w:rsidRDefault="00E344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F5DE9" w14:textId="77777777" w:rsidR="00B3756C" w:rsidRDefault="00B3756C" w:rsidP="00DB5D43">
      <w:pPr>
        <w:spacing w:after="0" w:line="240" w:lineRule="auto"/>
      </w:pPr>
      <w:r>
        <w:separator/>
      </w:r>
    </w:p>
  </w:footnote>
  <w:footnote w:type="continuationSeparator" w:id="0">
    <w:p w14:paraId="760F7300" w14:textId="77777777" w:rsidR="00B3756C" w:rsidRDefault="00B3756C" w:rsidP="00DB5D43">
      <w:pPr>
        <w:spacing w:after="0" w:line="240" w:lineRule="auto"/>
      </w:pPr>
      <w:r>
        <w:continuationSeparator/>
      </w:r>
    </w:p>
  </w:footnote>
  <w:footnote w:id="1">
    <w:p w14:paraId="6B8618B1" w14:textId="0D2A1FC0" w:rsidR="00E3449F" w:rsidRPr="00574DB4" w:rsidRDefault="00E3449F" w:rsidP="00194F7E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574DB4">
        <w:rPr>
          <w:rStyle w:val="Odkaznapoznmkupodiarou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574DB4">
        <w:rPr>
          <w:rFonts w:ascii="Arial Narrow" w:hAnsi="Arial Narrow"/>
          <w:sz w:val="16"/>
          <w:szCs w:val="16"/>
        </w:rPr>
        <w:t>Pojem hospodárnosť je potrebné aplikovať v zmysle § 2 písm. l) zákona č. 357/2015 Z.</w:t>
      </w:r>
      <w:r>
        <w:rPr>
          <w:rFonts w:ascii="Arial Narrow" w:hAnsi="Arial Narrow"/>
          <w:sz w:val="16"/>
          <w:szCs w:val="16"/>
        </w:rPr>
        <w:t xml:space="preserve"> </w:t>
      </w:r>
      <w:r w:rsidRPr="00574DB4">
        <w:rPr>
          <w:rFonts w:ascii="Arial Narrow" w:hAnsi="Arial Narrow"/>
          <w:sz w:val="16"/>
          <w:szCs w:val="16"/>
        </w:rPr>
        <w:t xml:space="preserve">z. o finančnej kontrole a audite a o zmene a doplnení niektorých zákonov ako aj článku 30 ods. 2 nariadenia Európskeho parlamentu a Rady (EÚ, EURATOM) č. 966/2012 z 25. októbra 2012, o rozpočtových pravidlách, ktoré sa vzťahujú na všeobecný rozpočet Únie, a zrušení nariadenia Rady (ES, Euratom) č. 1605/2002. </w:t>
      </w:r>
    </w:p>
  </w:footnote>
  <w:footnote w:id="2">
    <w:p w14:paraId="126E3A16" w14:textId="1AF27A2B" w:rsidR="00E3449F" w:rsidRPr="006013AC" w:rsidRDefault="00E3449F" w:rsidP="00194F7E">
      <w:pPr>
        <w:pStyle w:val="Textpoznmkypodiarou"/>
        <w:jc w:val="both"/>
        <w:rPr>
          <w:rFonts w:ascii="Arial Narrow" w:hAnsi="Arial Narrow"/>
        </w:rPr>
      </w:pPr>
      <w:r w:rsidRPr="00574DB4">
        <w:rPr>
          <w:rStyle w:val="Odkaznapoznmkupodiarou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574DB4">
        <w:rPr>
          <w:rFonts w:ascii="Arial Narrow" w:hAnsi="Arial Narrow"/>
          <w:sz w:val="16"/>
          <w:szCs w:val="16"/>
        </w:rPr>
        <w:t>Súčasťou posúdenia hospodárnosti zo strany SO je aj okrem overovania primeranosti cien a ich minimalizácie aj overovanie potrebnosti, resp. nevyhnutnosti dodávok tovaru, stavebných prác a služieb.</w:t>
      </w:r>
    </w:p>
  </w:footnote>
  <w:footnote w:id="3">
    <w:p w14:paraId="58F5F8B0" w14:textId="3AD3DF90" w:rsidR="00E3449F" w:rsidRDefault="00E3449F" w:rsidP="00735FB9">
      <w:pPr>
        <w:pStyle w:val="Textpoznmkypodiarou"/>
        <w:jc w:val="both"/>
      </w:pPr>
      <w:r w:rsidRPr="00137DDA">
        <w:rPr>
          <w:rStyle w:val="Odkaznapoznmkupodiarou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514108">
        <w:rPr>
          <w:rFonts w:ascii="Arial Narrow" w:hAnsi="Arial Narrow"/>
          <w:sz w:val="16"/>
          <w:szCs w:val="16"/>
        </w:rPr>
        <w:t>Pri aplikácií historických dát z programového obdobia 2007</w:t>
      </w:r>
      <w:r>
        <w:rPr>
          <w:rFonts w:ascii="Arial Narrow" w:hAnsi="Arial Narrow"/>
          <w:sz w:val="16"/>
          <w:szCs w:val="16"/>
        </w:rPr>
        <w:t xml:space="preserve"> </w:t>
      </w:r>
      <w:r w:rsidRPr="00C03D45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Pr="00514108">
        <w:rPr>
          <w:rFonts w:ascii="Arial Narrow" w:hAnsi="Arial Narrow"/>
          <w:sz w:val="16"/>
          <w:szCs w:val="16"/>
        </w:rPr>
        <w:t>2013</w:t>
      </w:r>
      <w:r>
        <w:rPr>
          <w:rFonts w:ascii="Arial Narrow" w:hAnsi="Arial Narrow"/>
          <w:sz w:val="16"/>
          <w:szCs w:val="16"/>
        </w:rPr>
        <w:t xml:space="preserve"> aj 2014 - 2020</w:t>
      </w:r>
      <w:r w:rsidRPr="00514108">
        <w:rPr>
          <w:rFonts w:ascii="Arial Narrow" w:hAnsi="Arial Narrow"/>
          <w:sz w:val="16"/>
          <w:szCs w:val="16"/>
        </w:rPr>
        <w:t xml:space="preserve"> je potrebné zohľadniť fakt, či dané výdavky neboli z pohľadu auditov, kontrol a certifikačných overovaní označené ako nehospodárne, čo by spôsobilo vychýlenie finančného limitu smerom nahor.</w:t>
      </w:r>
    </w:p>
  </w:footnote>
  <w:footnote w:id="4">
    <w:p w14:paraId="3C35E841" w14:textId="3D343DB9" w:rsidR="00E3449F" w:rsidRPr="00C35471" w:rsidRDefault="00E3449F" w:rsidP="00C35471">
      <w:pPr>
        <w:pStyle w:val="Textpoznmkypodiarou"/>
        <w:jc w:val="both"/>
        <w:rPr>
          <w:rFonts w:ascii="Arial Narrow" w:hAnsi="Arial Narrow" w:cs="Calibri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C35471">
        <w:rPr>
          <w:rFonts w:ascii="Arial Narrow" w:hAnsi="Arial Narrow" w:cs="Calibri"/>
          <w:sz w:val="16"/>
          <w:szCs w:val="16"/>
        </w:rPr>
        <w:t>V zmysle zákona č. 382/2004 Z. z.</w:t>
      </w:r>
      <w:r>
        <w:rPr>
          <w:rFonts w:ascii="Arial Narrow" w:hAnsi="Arial Narrow" w:cs="Calibri"/>
          <w:sz w:val="16"/>
          <w:szCs w:val="16"/>
        </w:rPr>
        <w:t xml:space="preserve"> o znalcoch, tlmočníkoch a prekladateľoch v znení  neskorších predpisov</w:t>
      </w:r>
      <w:r w:rsidRPr="00C35471">
        <w:rPr>
          <w:rFonts w:ascii="Arial Narrow" w:hAnsi="Arial Narrow" w:cs="Calibri"/>
          <w:sz w:val="16"/>
          <w:szCs w:val="16"/>
        </w:rPr>
        <w:t xml:space="preserve"> úkonmi znaleckej činnosti sú najmä znalecký posudok a jeho doplnenie, odborné stanovisko alebo potvrdenie a odborné vyjadrenie a vysvetlenie.</w:t>
      </w:r>
    </w:p>
  </w:footnote>
  <w:footnote w:id="5">
    <w:p w14:paraId="6226B7A4" w14:textId="72EB7468" w:rsidR="00E3449F" w:rsidRPr="00CF76C8" w:rsidRDefault="00E3449F" w:rsidP="000E5583">
      <w:pPr>
        <w:pStyle w:val="Textpoznmkypodiarou"/>
        <w:jc w:val="both"/>
      </w:pPr>
      <w:r w:rsidRPr="00CF76C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F76C8">
        <w:rPr>
          <w:rStyle w:val="Odkaznapoznmkupodiarou"/>
          <w:rFonts w:ascii="Arial Narrow" w:hAnsi="Arial Narrow"/>
          <w:sz w:val="16"/>
          <w:szCs w:val="16"/>
        </w:rPr>
        <w:t xml:space="preserve"> </w:t>
      </w:r>
      <w:r w:rsidRPr="00CF76C8">
        <w:rPr>
          <w:rFonts w:ascii="Arial Narrow" w:hAnsi="Arial Narrow"/>
          <w:sz w:val="16"/>
          <w:szCs w:val="16"/>
        </w:rPr>
        <w:t>Nastavenie predmetných nástrojov overenia hospodárnosti a efektívnosti vo vzťahu k jednotlivým skupinám výdavkov v zmysle tejto tabuľky nie je limitujúce v prípadoch posudzovania hospodárnosti v rámci odborného hodnotenia, kedy sa odborný hodnotiteľ rozhodne využiť niektorý z pomocných nástrojov ako ďalší doplňujúci nástroj overenia hospodárnosti, aj napriek tomu, že nie je označený krížikom ako využiteľný pri danej skupine výdavkov.</w:t>
      </w:r>
    </w:p>
  </w:footnote>
  <w:footnote w:id="6">
    <w:p w14:paraId="210C5801" w14:textId="2BE0A91D" w:rsidR="00E3449F" w:rsidRPr="00CF76C8" w:rsidRDefault="00E3449F">
      <w:pPr>
        <w:pStyle w:val="Textpoznmkypodiarou"/>
        <w:rPr>
          <w:rFonts w:ascii="Arial Narrow" w:hAnsi="Arial Narrow"/>
        </w:rPr>
      </w:pPr>
    </w:p>
  </w:footnote>
  <w:footnote w:id="7">
    <w:p w14:paraId="07EDAB61" w14:textId="2282DD5E" w:rsidR="00E3449F" w:rsidRPr="001C5B9C" w:rsidRDefault="00E3449F">
      <w:pPr>
        <w:pStyle w:val="Textpoznmkypodiarou"/>
        <w:rPr>
          <w:rFonts w:ascii="Arial Narrow" w:hAnsi="Arial Narrow"/>
          <w:sz w:val="16"/>
          <w:szCs w:val="16"/>
        </w:rPr>
      </w:pPr>
      <w:r w:rsidRPr="00CF76C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F76C8">
        <w:rPr>
          <w:rFonts w:ascii="Arial Narrow" w:hAnsi="Arial Narrow"/>
          <w:sz w:val="16"/>
          <w:szCs w:val="16"/>
        </w:rPr>
        <w:t xml:space="preserve"> </w:t>
      </w:r>
      <w:hyperlink r:id="rId1" w:history="1">
        <w:r w:rsidR="00CF76C8" w:rsidRPr="00CF76C8">
          <w:rPr>
            <w:rStyle w:val="Hypertextovprepojenie"/>
            <w:rFonts w:ascii="Arial Narrow" w:hAnsi="Arial Narrow"/>
            <w:sz w:val="16"/>
            <w:szCs w:val="16"/>
          </w:rPr>
          <w:t>https://www.opii.gov.sk/metodicke-dokumenty/verejne-obstaravanie</w:t>
        </w:r>
      </w:hyperlink>
      <w:r>
        <w:rPr>
          <w:rFonts w:ascii="Arial Narrow" w:hAnsi="Arial Narrow"/>
          <w:sz w:val="16"/>
          <w:szCs w:val="16"/>
        </w:rPr>
        <w:t xml:space="preserve"> </w:t>
      </w:r>
    </w:p>
  </w:footnote>
  <w:footnote w:id="8">
    <w:p w14:paraId="3DB98FB6" w14:textId="5CD4BE27" w:rsidR="00E3449F" w:rsidRDefault="00E3449F" w:rsidP="005873BA">
      <w:pPr>
        <w:pStyle w:val="Textpoznmkypodiarou"/>
      </w:pPr>
      <w:r w:rsidRPr="001C5B9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C5B9C">
        <w:rPr>
          <w:rFonts w:ascii="Arial Narrow" w:hAnsi="Arial Narrow"/>
          <w:sz w:val="16"/>
          <w:szCs w:val="16"/>
        </w:rPr>
        <w:t xml:space="preserve"> </w:t>
      </w:r>
      <w:hyperlink r:id="rId2" w:history="1">
        <w:r w:rsidR="00F00C04">
          <w:rPr>
            <w:rStyle w:val="Hypertextovprepojenie"/>
            <w:rFonts w:ascii="Arial Narrow" w:hAnsi="Arial Narrow"/>
            <w:sz w:val="16"/>
            <w:szCs w:val="16"/>
          </w:rPr>
          <w:t>www.mirri.gov.sk</w:t>
        </w:r>
      </w:hyperlink>
      <w:r>
        <w:rPr>
          <w:rFonts w:ascii="Arial Narrow" w:hAnsi="Arial Narrow"/>
          <w:sz w:val="16"/>
          <w:szCs w:val="16"/>
        </w:rPr>
        <w:t xml:space="preserve"> </w:t>
      </w:r>
    </w:p>
  </w:footnote>
  <w:footnote w:id="9">
    <w:p w14:paraId="1EB3FA81" w14:textId="24F076B3" w:rsidR="00E3449F" w:rsidRPr="008E32AF" w:rsidRDefault="00E3449F">
      <w:pPr>
        <w:pStyle w:val="Textpoznmkypodiarou"/>
        <w:rPr>
          <w:rFonts w:ascii="Arial Narrow" w:hAnsi="Arial Narrow"/>
          <w:sz w:val="16"/>
          <w:szCs w:val="16"/>
        </w:rPr>
      </w:pPr>
      <w:r w:rsidRPr="008E32AF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32AF">
        <w:rPr>
          <w:rFonts w:ascii="Arial Narrow" w:hAnsi="Arial Narrow"/>
          <w:sz w:val="16"/>
          <w:szCs w:val="16"/>
        </w:rPr>
        <w:t xml:space="preserve"> V</w:t>
      </w:r>
      <w:r>
        <w:rPr>
          <w:rFonts w:ascii="Arial Narrow" w:hAnsi="Arial Narrow"/>
          <w:sz w:val="16"/>
          <w:szCs w:val="16"/>
        </w:rPr>
        <w:t> </w:t>
      </w:r>
      <w:r w:rsidRPr="008E32AF">
        <w:rPr>
          <w:rFonts w:ascii="Arial Narrow" w:hAnsi="Arial Narrow"/>
          <w:sz w:val="16"/>
          <w:szCs w:val="16"/>
        </w:rPr>
        <w:t>prípade</w:t>
      </w:r>
      <w:r>
        <w:rPr>
          <w:rFonts w:ascii="Arial Narrow" w:hAnsi="Arial Narrow"/>
          <w:sz w:val="16"/>
          <w:szCs w:val="16"/>
        </w:rPr>
        <w:t>, ak je súčasťou nákupu stavby aj nákup pozemku, limit na nákup stavby sa primerane % zníži pri zachovaní limitu pri oboch položkách.</w:t>
      </w:r>
    </w:p>
  </w:footnote>
  <w:footnote w:id="10">
    <w:p w14:paraId="7908E835" w14:textId="3368B5BB" w:rsidR="00E3449F" w:rsidRPr="00574DB4" w:rsidRDefault="00E3449F">
      <w:pPr>
        <w:pStyle w:val="Textpoznmkypodiarou"/>
        <w:rPr>
          <w:rFonts w:ascii="Arial Narrow" w:hAnsi="Arial Narrow"/>
          <w:sz w:val="16"/>
          <w:szCs w:val="16"/>
        </w:rPr>
      </w:pPr>
      <w:r w:rsidRPr="00574DB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74DB4">
        <w:rPr>
          <w:rFonts w:ascii="Arial Narrow" w:hAnsi="Arial Narrow"/>
          <w:sz w:val="16"/>
          <w:szCs w:val="16"/>
        </w:rPr>
        <w:t xml:space="preserve"> http://www.infoworld.com/article/2640286/green-it/the-million-dollar-datacenter-question--tier-ii--or-not-tier-ii-.html</w:t>
      </w:r>
    </w:p>
  </w:footnote>
  <w:footnote w:id="11">
    <w:p w14:paraId="2CEBF1E8" w14:textId="688FC318" w:rsidR="00E3449F" w:rsidRDefault="00E3449F" w:rsidP="000E5583">
      <w:pPr>
        <w:pStyle w:val="Textpoznmkypodiarou"/>
        <w:jc w:val="both"/>
      </w:pPr>
      <w:r w:rsidRPr="00FB508B">
        <w:rPr>
          <w:rStyle w:val="Odkaznapoznmkupodiarou"/>
          <w:sz w:val="16"/>
        </w:rPr>
        <w:footnoteRef/>
      </w:r>
      <w:r w:rsidRPr="000E5583">
        <w:rPr>
          <w:rFonts w:ascii="Arial Narrow" w:eastAsiaTheme="minorHAnsi" w:hAnsi="Arial Narrow" w:cs="Arial"/>
          <w:sz w:val="16"/>
          <w:szCs w:val="16"/>
          <w:lang w:eastAsia="en-US"/>
        </w:rPr>
        <w:t xml:space="preserve"> V súlade s</w:t>
      </w:r>
      <w:r>
        <w:rPr>
          <w:rFonts w:ascii="Arial Narrow" w:eastAsiaTheme="minorHAnsi" w:hAnsi="Arial Narrow" w:cs="Arial"/>
          <w:sz w:val="16"/>
          <w:szCs w:val="16"/>
          <w:lang w:eastAsia="en-US"/>
        </w:rPr>
        <w:t> prílohou P</w:t>
      </w:r>
      <w:r w:rsidRPr="000E5583">
        <w:rPr>
          <w:rFonts w:ascii="Arial Narrow" w:eastAsiaTheme="minorHAnsi" w:hAnsi="Arial Narrow" w:cs="Arial"/>
          <w:sz w:val="16"/>
          <w:szCs w:val="16"/>
          <w:lang w:eastAsia="en-US"/>
        </w:rPr>
        <w:t>ríručk</w:t>
      </w:r>
      <w:r>
        <w:rPr>
          <w:rFonts w:ascii="Arial Narrow" w:eastAsiaTheme="minorHAnsi" w:hAnsi="Arial Narrow" w:cs="Arial"/>
          <w:sz w:val="16"/>
          <w:szCs w:val="16"/>
          <w:lang w:eastAsia="en-US"/>
        </w:rPr>
        <w:t xml:space="preserve">y pre žiadateľa OPII PO7 Informačná spoločnosť– dopytovo-orientované projekty, Príručkou oprávnenosti výdavkov PO7 OPII, </w:t>
      </w:r>
      <w:r w:rsidRPr="000E5583">
        <w:rPr>
          <w:rFonts w:ascii="Arial Narrow" w:eastAsiaTheme="minorHAnsi" w:hAnsi="Arial Narrow" w:cs="Arial"/>
          <w:sz w:val="16"/>
          <w:szCs w:val="16"/>
          <w:lang w:eastAsia="en-US"/>
        </w:rPr>
        <w:t xml:space="preserve">SO v rámci výzvy/vyzvania definuje povinnosť pre prijímateľa uzavrieť zmluvu o partnerstve s poskytovateľom služieb riadenia informačno-technologických projektov vo verejnej správe a publicity a informovanosti, ktorým je </w:t>
      </w:r>
      <w:r w:rsidR="00F00C04">
        <w:rPr>
          <w:rFonts w:ascii="Arial Narrow" w:eastAsiaTheme="minorHAnsi" w:hAnsi="Arial Narrow" w:cs="Arial"/>
          <w:sz w:val="16"/>
          <w:szCs w:val="16"/>
          <w:lang w:eastAsia="en-US"/>
        </w:rPr>
        <w:t>MIRRI SR</w:t>
      </w:r>
      <w:r w:rsidRPr="000E5583">
        <w:rPr>
          <w:rFonts w:ascii="Arial Narrow" w:eastAsiaTheme="minorHAnsi" w:hAnsi="Arial Narrow" w:cs="Arial"/>
          <w:sz w:val="16"/>
          <w:szCs w:val="16"/>
          <w:lang w:eastAsia="en-US"/>
        </w:rPr>
        <w:t>. Partnerská zmluva je uzatvorená na objem finančných zdrojov zodpovedajúci maximálne 3</w:t>
      </w:r>
      <w:r>
        <w:rPr>
          <w:rFonts w:ascii="Arial Narrow" w:eastAsiaTheme="minorHAnsi" w:hAnsi="Arial Narrow" w:cs="Arial"/>
          <w:sz w:val="16"/>
          <w:szCs w:val="16"/>
          <w:lang w:eastAsia="en-US"/>
        </w:rPr>
        <w:t xml:space="preserve"> </w:t>
      </w:r>
      <w:r w:rsidRPr="000E5583">
        <w:rPr>
          <w:rFonts w:ascii="Arial Narrow" w:eastAsiaTheme="minorHAnsi" w:hAnsi="Arial Narrow" w:cs="Arial"/>
          <w:sz w:val="16"/>
          <w:szCs w:val="16"/>
          <w:lang w:eastAsia="en-US"/>
        </w:rPr>
        <w:t xml:space="preserve">% z </w:t>
      </w:r>
      <w:r w:rsidRPr="00933611">
        <w:rPr>
          <w:rFonts w:ascii="Arial Narrow" w:eastAsiaTheme="minorHAnsi" w:hAnsi="Arial Narrow" w:cs="Arial"/>
          <w:sz w:val="16"/>
          <w:szCs w:val="16"/>
          <w:lang w:eastAsia="en-US"/>
        </w:rPr>
        <w:t>celkových oprávnených výdavkov</w:t>
      </w:r>
      <w:r w:rsidRPr="000E5583">
        <w:rPr>
          <w:rFonts w:ascii="Arial Narrow" w:eastAsiaTheme="minorHAnsi" w:hAnsi="Arial Narrow" w:cs="Arial"/>
          <w:sz w:val="16"/>
          <w:szCs w:val="16"/>
          <w:lang w:eastAsia="en-US"/>
        </w:rPr>
        <w:t xml:space="preserve">. Uvedené zdroje </w:t>
      </w:r>
      <w:r w:rsidRPr="00670D0B">
        <w:rPr>
          <w:rFonts w:ascii="Arial Narrow" w:eastAsiaTheme="minorHAnsi" w:hAnsi="Arial Narrow" w:cs="Arial"/>
          <w:sz w:val="16"/>
          <w:szCs w:val="16"/>
          <w:lang w:eastAsia="en-US"/>
        </w:rPr>
        <w:t xml:space="preserve">sa zarátavajú do </w:t>
      </w:r>
      <w:r>
        <w:rPr>
          <w:rFonts w:ascii="Arial Narrow" w:eastAsiaTheme="minorHAnsi" w:hAnsi="Arial Narrow" w:cs="Arial"/>
          <w:sz w:val="16"/>
          <w:szCs w:val="16"/>
          <w:lang w:eastAsia="en-US"/>
        </w:rPr>
        <w:t>7 % limitu, ktorý predstavuje maximálnu výšku nepriamych výdavkov z celkových oprávnených výdavkov.</w:t>
      </w:r>
    </w:p>
  </w:footnote>
  <w:footnote w:id="12">
    <w:p w14:paraId="25E1510A" w14:textId="6E3C6341" w:rsidR="00E3449F" w:rsidRPr="000F1C32" w:rsidRDefault="00E3449F">
      <w:pPr>
        <w:pStyle w:val="Textpoznmkypodiarou"/>
        <w:rPr>
          <w:rFonts w:ascii="Arial Narrow" w:hAnsi="Arial Narrow"/>
          <w:sz w:val="16"/>
          <w:szCs w:val="16"/>
        </w:rPr>
      </w:pPr>
      <w:r w:rsidRPr="000F1C3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F1C32">
        <w:rPr>
          <w:rFonts w:ascii="Arial Narrow" w:hAnsi="Arial Narrow"/>
          <w:sz w:val="16"/>
          <w:szCs w:val="16"/>
        </w:rPr>
        <w:t xml:space="preserve"> </w:t>
      </w:r>
      <w:hyperlink r:id="rId3" w:history="1">
        <w:r w:rsidR="00F00C04">
          <w:rPr>
            <w:rStyle w:val="Hypertextovprepojenie"/>
            <w:rFonts w:ascii="Arial Narrow" w:hAnsi="Arial Narrow"/>
            <w:sz w:val="16"/>
            <w:szCs w:val="16"/>
          </w:rPr>
          <w:t>www.mirri.gov.sk</w:t>
        </w:r>
      </w:hyperlink>
    </w:p>
  </w:footnote>
  <w:footnote w:id="13">
    <w:p w14:paraId="639EBB5A" w14:textId="77777777" w:rsidR="00E3449F" w:rsidRPr="00C57ADF" w:rsidRDefault="00E3449F" w:rsidP="00194F1D">
      <w:pPr>
        <w:pStyle w:val="Textpoznmkypodiarou"/>
        <w:rPr>
          <w:rFonts w:ascii="Arial Narrow" w:hAnsi="Arial Narrow"/>
          <w:sz w:val="16"/>
          <w:szCs w:val="16"/>
        </w:rPr>
      </w:pPr>
      <w:r w:rsidRPr="00C57ADF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57ADF">
        <w:rPr>
          <w:rFonts w:ascii="Arial Narrow" w:hAnsi="Arial Narrow"/>
          <w:sz w:val="16"/>
          <w:szCs w:val="16"/>
        </w:rPr>
        <w:t xml:space="preserve"> </w:t>
      </w:r>
      <w:r w:rsidRPr="00C57ADF">
        <w:rPr>
          <w:rFonts w:ascii="Arial Narrow" w:eastAsiaTheme="minorHAnsi" w:hAnsi="Arial Narrow" w:cs="Arial"/>
          <w:sz w:val="16"/>
          <w:szCs w:val="16"/>
          <w:lang w:eastAsia="en-US"/>
        </w:rPr>
        <w:t>Ide o limit na konkrétny druh výdavku (napr. osobné výdavky,  počítače, dataprojektor).</w:t>
      </w:r>
      <w:r w:rsidRPr="00C57ADF">
        <w:rPr>
          <w:rFonts w:ascii="Arial Narrow" w:hAnsi="Arial Narrow"/>
          <w:sz w:val="16"/>
          <w:szCs w:val="16"/>
        </w:rPr>
        <w:t xml:space="preserve"> </w:t>
      </w:r>
    </w:p>
  </w:footnote>
  <w:footnote w:id="14">
    <w:p w14:paraId="291371C3" w14:textId="31454FF5" w:rsidR="00E3449F" w:rsidRPr="00C57ADF" w:rsidRDefault="00E3449F" w:rsidP="009A0BA5">
      <w:pPr>
        <w:spacing w:after="0"/>
        <w:jc w:val="both"/>
        <w:rPr>
          <w:rFonts w:ascii="Arial Narrow" w:hAnsi="Arial Narrow"/>
          <w:sz w:val="16"/>
          <w:szCs w:val="16"/>
        </w:rPr>
      </w:pPr>
      <w:r w:rsidRPr="00C57ADF">
        <w:rPr>
          <w:rFonts w:ascii="Arial Narrow" w:hAnsi="Arial Narrow" w:cs="Arial"/>
          <w:sz w:val="16"/>
          <w:szCs w:val="16"/>
          <w:vertAlign w:val="superscript"/>
        </w:rPr>
        <w:footnoteRef/>
      </w:r>
      <w:r w:rsidRPr="00C57ADF">
        <w:rPr>
          <w:rFonts w:ascii="Arial Narrow" w:hAnsi="Arial Narrow" w:cs="Arial"/>
          <w:sz w:val="16"/>
          <w:szCs w:val="16"/>
        </w:rPr>
        <w:t xml:space="preserve"> Vzťahuje sa aj na položky EKRK 711003 Nákup softvéru a 718006 Modernizácia Softvéru, t. z. uvedené limity sa uplatňujú aj v prípade, ak sa jedná o dodávku diela zo strany dodávateľa, aj  v takomto prípade je prijímateľ povinný rozčleniť dodávku diela podľa jednotlivých pozícií (v štruktúre definovanej v </w:t>
      </w:r>
      <w:r>
        <w:rPr>
          <w:rFonts w:ascii="Arial Narrow" w:hAnsi="Arial Narrow" w:cs="Arial"/>
          <w:sz w:val="16"/>
          <w:szCs w:val="16"/>
        </w:rPr>
        <w:t>P</w:t>
      </w:r>
      <w:r w:rsidRPr="00C57ADF">
        <w:rPr>
          <w:rFonts w:ascii="Arial Narrow" w:hAnsi="Arial Narrow" w:cs="Arial"/>
          <w:sz w:val="16"/>
          <w:szCs w:val="16"/>
        </w:rPr>
        <w:t>ríručke pre žiadateľa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137DDA">
        <w:rPr>
          <w:rFonts w:ascii="Arial Narrow" w:eastAsia="Times New Roman" w:hAnsi="Arial Narrow" w:cs="Times New Roman"/>
          <w:sz w:val="16"/>
          <w:szCs w:val="16"/>
          <w:lang w:eastAsia="sk-SK"/>
        </w:rPr>
        <w:t>OPII pre PO7 Informačná spoločnosť</w:t>
      </w:r>
      <w:r w:rsidRPr="00817563">
        <w:rPr>
          <w:rFonts w:ascii="Arial Narrow" w:hAnsi="Arial Narrow" w:cs="Arial"/>
          <w:sz w:val="16"/>
          <w:szCs w:val="16"/>
        </w:rPr>
        <w:t>)</w:t>
      </w:r>
      <w:r w:rsidRPr="00C57ADF">
        <w:rPr>
          <w:rFonts w:ascii="Arial Narrow" w:hAnsi="Arial Narrow" w:cs="Arial"/>
          <w:sz w:val="16"/>
          <w:szCs w:val="16"/>
        </w:rPr>
        <w:t xml:space="preserve"> a je povinný dodržať stanovené limity. V prípade ak cieľom projektu v rámci vyššie uvedených špecifických cieľov nie je vývoj informačného systému, resp. ak si to charakter projektu vyžaduje môže SO z uvedených limitov pre maximálne zastúpenie jednotlivých pozícií udeliť výnimku.</w:t>
      </w:r>
    </w:p>
  </w:footnote>
  <w:footnote w:id="15">
    <w:p w14:paraId="466F8B27" w14:textId="19F21B9C" w:rsidR="00E3449F" w:rsidRPr="00C57ADF" w:rsidRDefault="00E3449F" w:rsidP="00E605F9">
      <w:pPr>
        <w:pStyle w:val="Textpoznmkypodiarou"/>
        <w:jc w:val="both"/>
        <w:rPr>
          <w:rStyle w:val="Odkaznapoznmkupodiarou"/>
          <w:rFonts w:ascii="Arial Narrow" w:hAnsi="Arial Narrow" w:cs="Arial"/>
          <w:sz w:val="16"/>
          <w:szCs w:val="16"/>
          <w:vertAlign w:val="baseline"/>
        </w:rPr>
      </w:pPr>
      <w:r w:rsidRPr="00C57ADF">
        <w:rPr>
          <w:rStyle w:val="Odkaznapoznmkupodiarou"/>
          <w:rFonts w:ascii="Arial Narrow" w:eastAsiaTheme="majorEastAsia" w:hAnsi="Arial Narrow" w:cs="Arial"/>
          <w:sz w:val="16"/>
          <w:szCs w:val="16"/>
        </w:rPr>
        <w:footnoteRef/>
      </w:r>
      <w:r w:rsidRPr="00C57ADF">
        <w:rPr>
          <w:rFonts w:ascii="Arial Narrow" w:hAnsi="Arial Narrow"/>
          <w:sz w:val="16"/>
          <w:szCs w:val="16"/>
        </w:rPr>
        <w:t xml:space="preserve"> </w:t>
      </w:r>
      <w:r w:rsidRPr="00C57ADF">
        <w:rPr>
          <w:rFonts w:ascii="Arial Narrow" w:hAnsi="Arial Narrow" w:cs="Arial"/>
          <w:sz w:val="16"/>
          <w:szCs w:val="16"/>
        </w:rPr>
        <w:t>Novovybudované líniové stavby tvoria stavebné objekty charakterizované pozdĺžnou osou výstavby, ktoré slúžia k prenosu médií v diaľkových trasách a inžinierske diela náročných technických parametrov na zabezpečenie dopravy (napr. teplovody, vodovodné a kanalizačné rady, ochranné hrádze atď.). V prípade pochybnosti o tom, či ide o líniovú stavbu alebo o jej súčasť, rozhodne orgán štátnej správy príslušný na jej povolenie.</w:t>
      </w:r>
      <w:r w:rsidRPr="00C57ADF">
        <w:rPr>
          <w:rStyle w:val="Odkaznapoznmkupodiarou"/>
          <w:rFonts w:ascii="Arial Narrow" w:eastAsiaTheme="majorEastAsia" w:hAnsi="Arial Narrow" w:cs="Arial"/>
          <w:sz w:val="16"/>
          <w:szCs w:val="16"/>
        </w:rPr>
        <w:t xml:space="preserve"> </w:t>
      </w:r>
    </w:p>
  </w:footnote>
  <w:footnote w:id="16">
    <w:p w14:paraId="538DE751" w14:textId="7819F8CC" w:rsidR="00E3449F" w:rsidRPr="00C57ADF" w:rsidRDefault="00E3449F" w:rsidP="009A0BA5">
      <w:pPr>
        <w:pStyle w:val="Textpoznmkypodiarou"/>
        <w:jc w:val="both"/>
        <w:rPr>
          <w:rFonts w:ascii="Arial Narrow" w:eastAsiaTheme="majorEastAsia" w:hAnsi="Arial Narrow"/>
          <w:sz w:val="16"/>
          <w:szCs w:val="16"/>
        </w:rPr>
      </w:pPr>
      <w:r w:rsidRPr="00C57ADF">
        <w:rPr>
          <w:rStyle w:val="Odkaznapoznmkupodiarou"/>
          <w:rFonts w:ascii="Arial Narrow" w:eastAsiaTheme="majorEastAsia" w:hAnsi="Arial Narrow" w:cs="Arial"/>
          <w:sz w:val="16"/>
          <w:szCs w:val="16"/>
        </w:rPr>
        <w:footnoteRef/>
      </w:r>
      <w:r w:rsidRPr="00C57ADF">
        <w:rPr>
          <w:rFonts w:ascii="Arial Narrow" w:hAnsi="Arial Narrow" w:cs="Arial"/>
          <w:sz w:val="16"/>
          <w:szCs w:val="16"/>
        </w:rPr>
        <w:t xml:space="preserve"> Priemyselné stavby - za priemyselné stavby sa pre účely OPII považujú stavby, u ktorých investičné náklady technologickej časti stavby prevyšujú náklady stavebnej časti stavby.</w:t>
      </w:r>
    </w:p>
  </w:footnote>
  <w:footnote w:id="17">
    <w:p w14:paraId="6D7926EA" w14:textId="1D6796B2" w:rsidR="00E3449F" w:rsidRPr="009A0BA5" w:rsidRDefault="00E3449F" w:rsidP="00574DB4">
      <w:pPr>
        <w:pStyle w:val="Textpoznmkypodiarou"/>
        <w:jc w:val="both"/>
        <w:rPr>
          <w:rFonts w:ascii="Arial Narrow" w:hAnsi="Arial Narrow"/>
        </w:rPr>
      </w:pPr>
      <w:r w:rsidRPr="00C57ADF">
        <w:rPr>
          <w:rStyle w:val="Odkaznapoznmkupodiarou"/>
          <w:rFonts w:ascii="Arial Narrow" w:eastAsiaTheme="majorEastAsia" w:hAnsi="Arial Narrow" w:cs="Arial"/>
          <w:sz w:val="16"/>
          <w:szCs w:val="16"/>
        </w:rPr>
        <w:footnoteRef/>
      </w:r>
      <w:r w:rsidRPr="00C57ADF">
        <w:rPr>
          <w:rFonts w:ascii="Arial Narrow" w:hAnsi="Arial Narrow" w:cs="Arial"/>
          <w:sz w:val="16"/>
          <w:szCs w:val="16"/>
        </w:rPr>
        <w:t xml:space="preserve"> Ostatné stavby - za ostatné stavby sa pre účely OPII považujú stavby, u ktorých náklady stavebnej časti stavby prevyšujú náklady technologickej časti stavby, s výnimkou novovybudovaných líniových stavieb.</w:t>
      </w:r>
    </w:p>
  </w:footnote>
  <w:footnote w:id="18">
    <w:p w14:paraId="05AC0DCE" w14:textId="77777777" w:rsidR="00E3449F" w:rsidRPr="00E8653F" w:rsidRDefault="00E3449F" w:rsidP="00CE4104">
      <w:pPr>
        <w:pStyle w:val="Textpoznmkypodiarou"/>
        <w:jc w:val="both"/>
        <w:rPr>
          <w:rFonts w:ascii="Arial Narrow" w:hAnsi="Arial Narrow" w:cs="Arial"/>
          <w:sz w:val="16"/>
          <w:szCs w:val="16"/>
        </w:rPr>
      </w:pPr>
      <w:r w:rsidRPr="00E8653F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8653F">
        <w:rPr>
          <w:rFonts w:ascii="Arial Narrow" w:hAnsi="Arial Narrow"/>
          <w:sz w:val="16"/>
          <w:szCs w:val="16"/>
        </w:rPr>
        <w:t xml:space="preserve"> </w:t>
      </w:r>
      <w:r w:rsidRPr="00E8653F">
        <w:rPr>
          <w:rFonts w:ascii="Arial Narrow" w:hAnsi="Arial Narrow" w:cs="Arial"/>
          <w:sz w:val="16"/>
          <w:szCs w:val="16"/>
        </w:rPr>
        <w:t>O podpore získanej z európskych štrukturálnych a investičných fondov na spolufinancovanie projektu (nepriame výdavky).</w:t>
      </w:r>
    </w:p>
  </w:footnote>
  <w:footnote w:id="19">
    <w:p w14:paraId="67068234" w14:textId="6E07E2E9" w:rsidR="00E3449F" w:rsidRPr="000F1C32" w:rsidRDefault="00E3449F" w:rsidP="00194F1D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0F1C32">
        <w:rPr>
          <w:rStyle w:val="Odkaznapoznmkupodiarou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0F1C32">
        <w:rPr>
          <w:rFonts w:ascii="Arial Narrow" w:hAnsi="Arial Narrow"/>
          <w:sz w:val="16"/>
          <w:szCs w:val="16"/>
        </w:rPr>
        <w:t>Tento pomocný nástroj je vymedzený pre aplikáciu hospodárnosti pre účely tejto metodiky, čím nie sú dotknuté povinnosti prijímateľa/žiadateľa a RO vyplývajúce zo SR EŠIF.</w:t>
      </w:r>
    </w:p>
  </w:footnote>
  <w:footnote w:id="20">
    <w:p w14:paraId="0595CFF9" w14:textId="1AB42B09" w:rsidR="00E3449F" w:rsidRPr="00574DB4" w:rsidRDefault="00E3449F">
      <w:pPr>
        <w:pStyle w:val="Textpoznmkypodiarou"/>
        <w:rPr>
          <w:sz w:val="16"/>
          <w:szCs w:val="16"/>
        </w:rPr>
      </w:pPr>
      <w:r w:rsidRPr="000E5583">
        <w:rPr>
          <w:rFonts w:ascii="Arial Narrow" w:hAnsi="Arial Narrow"/>
          <w:sz w:val="16"/>
          <w:szCs w:val="16"/>
          <w:vertAlign w:val="superscript"/>
        </w:rPr>
        <w:footnoteRef/>
      </w:r>
      <w:r w:rsidRPr="00700C1D">
        <w:rPr>
          <w:rFonts w:ascii="Arial Narrow" w:hAnsi="Arial Narrow"/>
          <w:sz w:val="16"/>
          <w:szCs w:val="16"/>
        </w:rPr>
        <w:t xml:space="preserve"> V</w:t>
      </w:r>
      <w:r w:rsidRPr="000F1C32">
        <w:rPr>
          <w:rFonts w:ascii="Arial Narrow" w:hAnsi="Arial Narrow"/>
          <w:sz w:val="16"/>
          <w:szCs w:val="16"/>
        </w:rPr>
        <w:t>zor záznamu o vykonaní prieskumu trhu tvorí prílohu tohto dokumentu</w:t>
      </w:r>
      <w:r>
        <w:rPr>
          <w:rFonts w:ascii="Arial Narrow" w:hAnsi="Arial Narrow"/>
          <w:sz w:val="16"/>
          <w:szCs w:val="16"/>
        </w:rPr>
        <w:t>.</w:t>
      </w:r>
    </w:p>
  </w:footnote>
  <w:footnote w:id="21">
    <w:p w14:paraId="33C2CA56" w14:textId="20285444" w:rsidR="00E3449F" w:rsidRPr="000F1C32" w:rsidRDefault="00E3449F" w:rsidP="006A7008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0F1C3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F1C32">
        <w:rPr>
          <w:rFonts w:ascii="Arial Narrow" w:hAnsi="Arial Narrow"/>
          <w:sz w:val="16"/>
          <w:szCs w:val="16"/>
        </w:rPr>
        <w:t xml:space="preserve"> RO/SO pri určení cenového rozdielu (výdavok(y) nárokovaný prijímateľom/žiadateľom a cena(y) identifikovaná RO/SO) stanoví toleranciu cenového rozdielu, ktorá bude akceptovateľná pre RO/SO (RO/SO stanovenie miery tolerancie riadne zdokumentuje).</w:t>
      </w:r>
    </w:p>
  </w:footnote>
  <w:footnote w:id="22">
    <w:p w14:paraId="52D91E7B" w14:textId="46358926" w:rsidR="00E3449F" w:rsidRDefault="00E3449F" w:rsidP="00555220">
      <w:pPr>
        <w:pStyle w:val="Textpoznmkypodiarou"/>
        <w:jc w:val="both"/>
      </w:pPr>
      <w:r w:rsidRPr="000F1C3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F1C32">
        <w:rPr>
          <w:rFonts w:ascii="Arial Narrow" w:hAnsi="Arial Narrow"/>
          <w:sz w:val="16"/>
          <w:szCs w:val="16"/>
        </w:rPr>
        <w:t xml:space="preserve"> V prípade žiadateľa/prijímateľa RO/SO primerane aplikuje požiadavku na uchovávanie dokumentov.</w:t>
      </w:r>
      <w:r w:rsidRPr="00F0117E">
        <w:rPr>
          <w:sz w:val="16"/>
          <w:szCs w:val="16"/>
        </w:rPr>
        <w:t xml:space="preserve"> </w:t>
      </w:r>
    </w:p>
  </w:footnote>
  <w:footnote w:id="23">
    <w:p w14:paraId="7181D074" w14:textId="77777777" w:rsidR="00E3449F" w:rsidRPr="00E65926" w:rsidRDefault="00E3449F" w:rsidP="00E65926">
      <w:pPr>
        <w:pStyle w:val="Textpoznmkypodiarou"/>
        <w:jc w:val="both"/>
        <w:rPr>
          <w:rFonts w:ascii="Arial Narrow" w:hAnsi="Arial Narrow"/>
        </w:rPr>
      </w:pPr>
      <w:r w:rsidRPr="00E65926">
        <w:rPr>
          <w:rStyle w:val="Odkaznapoznmkupodiarou"/>
          <w:rFonts w:ascii="Arial Narrow" w:hAnsi="Arial Narrow"/>
          <w:sz w:val="16"/>
        </w:rPr>
        <w:footnoteRef/>
      </w:r>
      <w:r w:rsidRPr="00E65926">
        <w:rPr>
          <w:rFonts w:ascii="Arial Narrow" w:hAnsi="Arial Narrow"/>
          <w:sz w:val="16"/>
        </w:rPr>
        <w:t xml:space="preserve"> Osoba, ktorá má odbornú spôsobilosť a skúsenosti v príslušnej oblasti. RO musí vedieť preukázať odbornú spôsobilosť a skúsenosti v príslušnej oblasti</w:t>
      </w:r>
      <w:r w:rsidRPr="00E65926">
        <w:rPr>
          <w:rFonts w:ascii="Arial Narrow" w:hAnsi="Arial Narrow"/>
          <w:sz w:val="18"/>
        </w:rPr>
        <w:t xml:space="preserve">. </w:t>
      </w:r>
    </w:p>
  </w:footnote>
  <w:footnote w:id="24">
    <w:p w14:paraId="1C8DD2C2" w14:textId="77777777" w:rsidR="00E3449F" w:rsidRPr="00E65926" w:rsidRDefault="00E3449F" w:rsidP="00E65926">
      <w:pPr>
        <w:pStyle w:val="Textpoznmkypodiarou"/>
        <w:rPr>
          <w:rFonts w:ascii="Arial Narrow" w:hAnsi="Arial Narrow"/>
          <w:sz w:val="16"/>
          <w:szCs w:val="16"/>
        </w:rPr>
      </w:pPr>
      <w:r w:rsidRPr="00E6592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65926">
        <w:rPr>
          <w:rFonts w:ascii="Arial Narrow" w:hAnsi="Arial Narrow"/>
          <w:sz w:val="16"/>
          <w:szCs w:val="16"/>
        </w:rPr>
        <w:t xml:space="preserve"> Odborný posudok sa nemôže zamieňať za odborné hodnotenie vykonané odborným hodnotiteľom.</w:t>
      </w:r>
    </w:p>
  </w:footnote>
  <w:footnote w:id="25">
    <w:p w14:paraId="07DB0BFC" w14:textId="73B1AD2B" w:rsidR="00E3449F" w:rsidRPr="00E65926" w:rsidRDefault="00E3449F" w:rsidP="00E6592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E6592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65926">
        <w:rPr>
          <w:rFonts w:ascii="Arial Narrow" w:hAnsi="Arial Narrow"/>
          <w:sz w:val="16"/>
          <w:szCs w:val="16"/>
        </w:rPr>
        <w:t xml:space="preserve"> Pre úkon znalca náležitosti upravuje</w:t>
      </w:r>
      <w:r>
        <w:rPr>
          <w:rFonts w:ascii="Arial Narrow" w:hAnsi="Arial Narrow"/>
          <w:sz w:val="16"/>
          <w:szCs w:val="16"/>
        </w:rPr>
        <w:t xml:space="preserve"> aj</w:t>
      </w:r>
      <w:r w:rsidRPr="00E65926">
        <w:rPr>
          <w:rFonts w:ascii="Arial Narrow" w:hAnsi="Arial Narrow"/>
          <w:sz w:val="16"/>
          <w:szCs w:val="16"/>
        </w:rPr>
        <w:t xml:space="preserve"> zákon č. 382/2004 Z. z. a vykonávacia vyhláška č. 228/2018 Z. z. </w:t>
      </w:r>
    </w:p>
  </w:footnote>
  <w:footnote w:id="26">
    <w:p w14:paraId="79677C2A" w14:textId="77777777" w:rsidR="00E3449F" w:rsidRPr="00E65926" w:rsidRDefault="00E3449F" w:rsidP="00E65926">
      <w:pPr>
        <w:pStyle w:val="Textpoznmkypodiarou"/>
        <w:rPr>
          <w:rFonts w:ascii="Arial Narrow" w:hAnsi="Arial Narrow"/>
          <w:sz w:val="16"/>
          <w:szCs w:val="16"/>
        </w:rPr>
      </w:pPr>
      <w:r w:rsidRPr="00E6592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65926">
        <w:rPr>
          <w:rFonts w:ascii="Arial Narrow" w:hAnsi="Arial Narrow"/>
          <w:sz w:val="16"/>
          <w:szCs w:val="16"/>
        </w:rPr>
        <w:t xml:space="preserve"> Hospodárnosť sa posudzuje v súlade so zákonom č. 357/2015 Z. z. </w:t>
      </w:r>
    </w:p>
  </w:footnote>
  <w:footnote w:id="27">
    <w:p w14:paraId="12134B40" w14:textId="77777777" w:rsidR="00E3449F" w:rsidRPr="00E65926" w:rsidRDefault="00E3449F" w:rsidP="00E65926">
      <w:pPr>
        <w:pStyle w:val="Textpoznmkypodiarou"/>
        <w:rPr>
          <w:rFonts w:ascii="Arial Narrow" w:hAnsi="Arial Narrow"/>
          <w:sz w:val="16"/>
          <w:szCs w:val="16"/>
        </w:rPr>
      </w:pPr>
      <w:r w:rsidRPr="00E6592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65926">
        <w:rPr>
          <w:rFonts w:ascii="Arial Narrow" w:hAnsi="Arial Narrow"/>
          <w:sz w:val="16"/>
          <w:szCs w:val="16"/>
        </w:rPr>
        <w:t xml:space="preserve"> Neprimeraná cena vyplýva z § 12 ods. 1 až 3 zákona č. 18/1996 Z. z. o cenách v znení neskorších predpisov.</w:t>
      </w:r>
    </w:p>
  </w:footnote>
  <w:footnote w:id="28">
    <w:p w14:paraId="5C211D2B" w14:textId="77777777" w:rsidR="00E3449F" w:rsidRPr="00E65926" w:rsidRDefault="00E3449F" w:rsidP="00D42ADB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E6592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65926">
        <w:rPr>
          <w:rFonts w:ascii="Arial Narrow" w:hAnsi="Arial Narrow"/>
          <w:sz w:val="16"/>
          <w:szCs w:val="16"/>
        </w:rPr>
        <w:t xml:space="preserve"> Pri ustanovení znalca, ktorý nie je zapísaný v zozname znalcov, musia byť dodržané podmienky uvedené v § 15 zákona č. 382/2004 Z. z. o znalcoch, tlmočníkoch a prekladateľoch v znení neskorších predpisov.  </w:t>
      </w:r>
    </w:p>
    <w:p w14:paraId="45BF2311" w14:textId="379E7E03" w:rsidR="00E3449F" w:rsidRDefault="00E3449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DBB9B" w14:textId="77777777" w:rsidR="00F00C04" w:rsidRPr="000E1F83" w:rsidRDefault="00F00C04" w:rsidP="00F00C04">
    <w:pPr>
      <w:pStyle w:val="Hlavika"/>
    </w:pPr>
    <w:r w:rsidRPr="000E1F83">
      <w:rPr>
        <w:noProof/>
        <w:lang w:eastAsia="sk-SK"/>
      </w:rPr>
      <w:drawing>
        <wp:anchor distT="0" distB="0" distL="114300" distR="114300" simplePos="0" relativeHeight="251661824" behindDoc="0" locked="0" layoutInCell="1" allowOverlap="1" wp14:anchorId="5689F084" wp14:editId="04DCED4B">
          <wp:simplePos x="0" y="0"/>
          <wp:positionH relativeFrom="margin">
            <wp:posOffset>3592941</wp:posOffset>
          </wp:positionH>
          <wp:positionV relativeFrom="paragraph">
            <wp:posOffset>30204</wp:posOffset>
          </wp:positionV>
          <wp:extent cx="1419225" cy="324485"/>
          <wp:effectExtent l="0" t="0" r="9525" b="0"/>
          <wp:wrapThrough wrapText="bothSides">
            <wp:wrapPolygon edited="0">
              <wp:start x="0" y="0"/>
              <wp:lineTo x="0" y="11413"/>
              <wp:lineTo x="2609" y="20290"/>
              <wp:lineTo x="16236" y="20290"/>
              <wp:lineTo x="21455" y="11413"/>
              <wp:lineTo x="21455" y="5072"/>
              <wp:lineTo x="11887" y="0"/>
              <wp:lineTo x="0" y="0"/>
            </wp:wrapPolygon>
          </wp:wrapThrough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U:\OROPIS\Nové programové obdobie 2014 -2020\DELIMITACIA Urad PVPIaI\logo UPV SR II\UPV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 w:rsidRPr="000E1F83">
      <w:rPr>
        <w:noProof/>
        <w:lang w:eastAsia="sk-SK"/>
      </w:rPr>
      <w:drawing>
        <wp:inline distT="0" distB="0" distL="0" distR="0" wp14:anchorId="2A881AF5" wp14:editId="427EF222">
          <wp:extent cx="3102610" cy="359410"/>
          <wp:effectExtent l="0" t="0" r="2540" b="2540"/>
          <wp:docPr id="5" name="Obrázok 5" descr="C:\Users\cupkova\AppData\Local\Temp\Temp1_MIK_verzia_1_1 (1).zip\00_NA STIAHNUTIE web\logo OPII a MDV spolu\EFRR_OPII a MDV\SK\logo OPII a MDV_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upkova\AppData\Local\Temp\Temp1_MIK_verzia_1_1 (1).zip\00_NA STIAHNUTIE web\logo OPII a MDV spolu\EFRR_OPII a MDV\SK\logo OPII a MDV_EFR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A33DA9" w14:textId="6BD17079" w:rsidR="00E3449F" w:rsidRDefault="00E344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3A86"/>
    <w:multiLevelType w:val="hybridMultilevel"/>
    <w:tmpl w:val="E8081D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75E39"/>
    <w:multiLevelType w:val="hybridMultilevel"/>
    <w:tmpl w:val="F2EA85EC"/>
    <w:lvl w:ilvl="0" w:tplc="B7D4F020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5ADC"/>
    <w:multiLevelType w:val="hybridMultilevel"/>
    <w:tmpl w:val="F558CB52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75E2"/>
    <w:multiLevelType w:val="hybridMultilevel"/>
    <w:tmpl w:val="87E4B1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34DDF"/>
    <w:multiLevelType w:val="hybridMultilevel"/>
    <w:tmpl w:val="745696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06220"/>
    <w:multiLevelType w:val="hybridMultilevel"/>
    <w:tmpl w:val="27F675C4"/>
    <w:lvl w:ilvl="0" w:tplc="983A92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934E9"/>
    <w:multiLevelType w:val="hybridMultilevel"/>
    <w:tmpl w:val="5704C3F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0F1A79"/>
    <w:multiLevelType w:val="hybridMultilevel"/>
    <w:tmpl w:val="A25E6036"/>
    <w:lvl w:ilvl="0" w:tplc="884AFD1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65989"/>
    <w:multiLevelType w:val="hybridMultilevel"/>
    <w:tmpl w:val="349A5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50052"/>
    <w:multiLevelType w:val="hybridMultilevel"/>
    <w:tmpl w:val="64A6A5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71910"/>
    <w:multiLevelType w:val="hybridMultilevel"/>
    <w:tmpl w:val="5E0EC8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C24D5"/>
    <w:multiLevelType w:val="hybridMultilevel"/>
    <w:tmpl w:val="B14400F4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84EF3"/>
    <w:multiLevelType w:val="hybridMultilevel"/>
    <w:tmpl w:val="74A691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156DA"/>
    <w:multiLevelType w:val="hybridMultilevel"/>
    <w:tmpl w:val="54DCD0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A0F1C"/>
    <w:multiLevelType w:val="hybridMultilevel"/>
    <w:tmpl w:val="ED9AE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55227"/>
    <w:multiLevelType w:val="hybridMultilevel"/>
    <w:tmpl w:val="CFFED3C2"/>
    <w:lvl w:ilvl="0" w:tplc="3C16A78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80F86"/>
    <w:multiLevelType w:val="hybridMultilevel"/>
    <w:tmpl w:val="604CAE0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BE59C3"/>
    <w:multiLevelType w:val="hybridMultilevel"/>
    <w:tmpl w:val="A5D0C52C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5529B1"/>
    <w:multiLevelType w:val="hybridMultilevel"/>
    <w:tmpl w:val="59EAF2CA"/>
    <w:lvl w:ilvl="0" w:tplc="041B000F">
      <w:start w:val="1"/>
      <w:numFmt w:val="decimal"/>
      <w:lvlText w:val="%1.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l2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A8742E"/>
    <w:multiLevelType w:val="hybridMultilevel"/>
    <w:tmpl w:val="F2EA85EC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F4260"/>
    <w:multiLevelType w:val="hybridMultilevel"/>
    <w:tmpl w:val="D7627A7C"/>
    <w:lvl w:ilvl="0" w:tplc="89422C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E963AE4"/>
    <w:multiLevelType w:val="multilevel"/>
    <w:tmpl w:val="94F88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082011F"/>
    <w:multiLevelType w:val="hybridMultilevel"/>
    <w:tmpl w:val="77767D5A"/>
    <w:lvl w:ilvl="0" w:tplc="9FF2AFF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F7677"/>
    <w:multiLevelType w:val="hybridMultilevel"/>
    <w:tmpl w:val="D228FF3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6327C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817AED"/>
    <w:multiLevelType w:val="hybridMultilevel"/>
    <w:tmpl w:val="C74A1106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72B0B"/>
    <w:multiLevelType w:val="hybridMultilevel"/>
    <w:tmpl w:val="27F2D0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E371F"/>
    <w:multiLevelType w:val="hybridMultilevel"/>
    <w:tmpl w:val="207C7C14"/>
    <w:lvl w:ilvl="0" w:tplc="F51A7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A578EC"/>
    <w:multiLevelType w:val="hybridMultilevel"/>
    <w:tmpl w:val="E1BEBFBE"/>
    <w:lvl w:ilvl="0" w:tplc="B7D4F020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4D3F32"/>
    <w:multiLevelType w:val="hybridMultilevel"/>
    <w:tmpl w:val="235A966E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25167"/>
    <w:multiLevelType w:val="hybridMultilevel"/>
    <w:tmpl w:val="68867A72"/>
    <w:lvl w:ilvl="0" w:tplc="3C16A78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70648"/>
    <w:multiLevelType w:val="hybridMultilevel"/>
    <w:tmpl w:val="5DB8E330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CA3D6F"/>
    <w:multiLevelType w:val="hybridMultilevel"/>
    <w:tmpl w:val="B14400F4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B0285"/>
    <w:multiLevelType w:val="hybridMultilevel"/>
    <w:tmpl w:val="E8081D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2304F"/>
    <w:multiLevelType w:val="hybridMultilevel"/>
    <w:tmpl w:val="8800F588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049AE"/>
    <w:multiLevelType w:val="hybridMultilevel"/>
    <w:tmpl w:val="7FAEC7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04B70"/>
    <w:multiLevelType w:val="hybridMultilevel"/>
    <w:tmpl w:val="9296E7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C04CB"/>
    <w:multiLevelType w:val="hybridMultilevel"/>
    <w:tmpl w:val="25A0B8AC"/>
    <w:lvl w:ilvl="0" w:tplc="041B000F">
      <w:start w:val="1"/>
      <w:numFmt w:val="decimal"/>
      <w:lvlText w:val="%1."/>
      <w:lvlJc w:val="left"/>
      <w:pPr>
        <w:ind w:left="1145" w:hanging="360"/>
      </w:p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>
      <w:start w:val="1"/>
      <w:numFmt w:val="lowerRoman"/>
      <w:lvlText w:val="%3."/>
      <w:lvlJc w:val="right"/>
      <w:pPr>
        <w:ind w:left="2585" w:hanging="180"/>
      </w:pPr>
    </w:lvl>
    <w:lvl w:ilvl="3" w:tplc="041B000F">
      <w:start w:val="1"/>
      <w:numFmt w:val="decimal"/>
      <w:lvlText w:val="%4."/>
      <w:lvlJc w:val="left"/>
      <w:pPr>
        <w:ind w:left="3305" w:hanging="360"/>
      </w:pPr>
    </w:lvl>
    <w:lvl w:ilvl="4" w:tplc="041B0019">
      <w:start w:val="1"/>
      <w:numFmt w:val="lowerLetter"/>
      <w:lvlText w:val="%5."/>
      <w:lvlJc w:val="left"/>
      <w:pPr>
        <w:ind w:left="4025" w:hanging="360"/>
      </w:pPr>
    </w:lvl>
    <w:lvl w:ilvl="5" w:tplc="041B001B">
      <w:start w:val="1"/>
      <w:numFmt w:val="lowerRoman"/>
      <w:lvlText w:val="%6."/>
      <w:lvlJc w:val="right"/>
      <w:pPr>
        <w:ind w:left="4745" w:hanging="180"/>
      </w:pPr>
    </w:lvl>
    <w:lvl w:ilvl="6" w:tplc="041B000F">
      <w:start w:val="1"/>
      <w:numFmt w:val="decimal"/>
      <w:lvlText w:val="%7."/>
      <w:lvlJc w:val="left"/>
      <w:pPr>
        <w:ind w:left="5465" w:hanging="360"/>
      </w:pPr>
    </w:lvl>
    <w:lvl w:ilvl="7" w:tplc="041B0019">
      <w:start w:val="1"/>
      <w:numFmt w:val="lowerLetter"/>
      <w:lvlText w:val="%8."/>
      <w:lvlJc w:val="left"/>
      <w:pPr>
        <w:ind w:left="6185" w:hanging="360"/>
      </w:pPr>
    </w:lvl>
    <w:lvl w:ilvl="8" w:tplc="041B001B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72F26DF2"/>
    <w:multiLevelType w:val="hybridMultilevel"/>
    <w:tmpl w:val="7FCAF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22E57"/>
    <w:multiLevelType w:val="hybridMultilevel"/>
    <w:tmpl w:val="15525D1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8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3"/>
  </w:num>
  <w:num w:numId="11">
    <w:abstractNumId w:val="1"/>
  </w:num>
  <w:num w:numId="12">
    <w:abstractNumId w:val="6"/>
  </w:num>
  <w:num w:numId="13">
    <w:abstractNumId w:val="0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33"/>
  </w:num>
  <w:num w:numId="17">
    <w:abstractNumId w:val="36"/>
  </w:num>
  <w:num w:numId="18">
    <w:abstractNumId w:val="10"/>
  </w:num>
  <w:num w:numId="19">
    <w:abstractNumId w:val="17"/>
  </w:num>
  <w:num w:numId="20">
    <w:abstractNumId w:val="27"/>
  </w:num>
  <w:num w:numId="21">
    <w:abstractNumId w:val="2"/>
  </w:num>
  <w:num w:numId="22">
    <w:abstractNumId w:val="11"/>
  </w:num>
  <w:num w:numId="23">
    <w:abstractNumId w:val="31"/>
  </w:num>
  <w:num w:numId="24">
    <w:abstractNumId w:val="21"/>
  </w:num>
  <w:num w:numId="25">
    <w:abstractNumId w:val="22"/>
  </w:num>
  <w:num w:numId="26">
    <w:abstractNumId w:val="13"/>
  </w:num>
  <w:num w:numId="27">
    <w:abstractNumId w:val="18"/>
  </w:num>
  <w:num w:numId="28">
    <w:abstractNumId w:val="19"/>
  </w:num>
  <w:num w:numId="29">
    <w:abstractNumId w:val="15"/>
  </w:num>
  <w:num w:numId="30">
    <w:abstractNumId w:val="5"/>
  </w:num>
  <w:num w:numId="31">
    <w:abstractNumId w:val="24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8"/>
  </w:num>
  <w:num w:numId="35">
    <w:abstractNumId w:val="25"/>
  </w:num>
  <w:num w:numId="36">
    <w:abstractNumId w:val="8"/>
  </w:num>
  <w:num w:numId="37">
    <w:abstractNumId w:val="34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32"/>
  </w:num>
  <w:num w:numId="41">
    <w:abstractNumId w:val="3"/>
  </w:num>
  <w:num w:numId="42">
    <w:abstractNumId w:val="35"/>
  </w:num>
  <w:num w:numId="43">
    <w:abstractNumId w:val="9"/>
  </w:num>
  <w:num w:numId="44">
    <w:abstractNumId w:val="20"/>
  </w:num>
  <w:num w:numId="45">
    <w:abstractNumId w:val="7"/>
  </w:num>
  <w:num w:numId="46">
    <w:abstractNumId w:val="38"/>
  </w:num>
  <w:num w:numId="47">
    <w:abstractNumId w:val="29"/>
  </w:num>
  <w:num w:numId="48">
    <w:abstractNumId w:val="30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"/>
  </w:num>
  <w:num w:numId="51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0C"/>
    <w:rsid w:val="0000275E"/>
    <w:rsid w:val="00003583"/>
    <w:rsid w:val="00021B3C"/>
    <w:rsid w:val="000229B2"/>
    <w:rsid w:val="00022B91"/>
    <w:rsid w:val="000269DB"/>
    <w:rsid w:val="0004038D"/>
    <w:rsid w:val="00041DD7"/>
    <w:rsid w:val="00044D03"/>
    <w:rsid w:val="000476BC"/>
    <w:rsid w:val="00047E65"/>
    <w:rsid w:val="000522D7"/>
    <w:rsid w:val="000530AC"/>
    <w:rsid w:val="00062A74"/>
    <w:rsid w:val="000631EC"/>
    <w:rsid w:val="00071A0C"/>
    <w:rsid w:val="0007323C"/>
    <w:rsid w:val="0007558C"/>
    <w:rsid w:val="000768D9"/>
    <w:rsid w:val="00081E24"/>
    <w:rsid w:val="0008214F"/>
    <w:rsid w:val="000839D4"/>
    <w:rsid w:val="00085408"/>
    <w:rsid w:val="00087750"/>
    <w:rsid w:val="00094F6F"/>
    <w:rsid w:val="00096BBA"/>
    <w:rsid w:val="00097964"/>
    <w:rsid w:val="000A2019"/>
    <w:rsid w:val="000A596F"/>
    <w:rsid w:val="000B1AC9"/>
    <w:rsid w:val="000B2853"/>
    <w:rsid w:val="000B34D0"/>
    <w:rsid w:val="000C2C6D"/>
    <w:rsid w:val="000D05BF"/>
    <w:rsid w:val="000D2948"/>
    <w:rsid w:val="000D4D7B"/>
    <w:rsid w:val="000E2D23"/>
    <w:rsid w:val="000E3D81"/>
    <w:rsid w:val="000E5583"/>
    <w:rsid w:val="000F057F"/>
    <w:rsid w:val="000F1C32"/>
    <w:rsid w:val="000F35CE"/>
    <w:rsid w:val="001042BE"/>
    <w:rsid w:val="0011666C"/>
    <w:rsid w:val="001246C2"/>
    <w:rsid w:val="001332A1"/>
    <w:rsid w:val="001342CA"/>
    <w:rsid w:val="001370F7"/>
    <w:rsid w:val="00137DDA"/>
    <w:rsid w:val="00141B7F"/>
    <w:rsid w:val="00143239"/>
    <w:rsid w:val="00147D9C"/>
    <w:rsid w:val="00153351"/>
    <w:rsid w:val="00156C04"/>
    <w:rsid w:val="001660EF"/>
    <w:rsid w:val="001667C9"/>
    <w:rsid w:val="00166E50"/>
    <w:rsid w:val="001734BE"/>
    <w:rsid w:val="0017541B"/>
    <w:rsid w:val="0017630F"/>
    <w:rsid w:val="001779AB"/>
    <w:rsid w:val="00183957"/>
    <w:rsid w:val="001861AC"/>
    <w:rsid w:val="00192C31"/>
    <w:rsid w:val="00194358"/>
    <w:rsid w:val="00194F1D"/>
    <w:rsid w:val="00194F7E"/>
    <w:rsid w:val="001A029E"/>
    <w:rsid w:val="001A70B7"/>
    <w:rsid w:val="001B0640"/>
    <w:rsid w:val="001B2B23"/>
    <w:rsid w:val="001B2C81"/>
    <w:rsid w:val="001C5B9C"/>
    <w:rsid w:val="001C7104"/>
    <w:rsid w:val="001D2FB1"/>
    <w:rsid w:val="001D7CE1"/>
    <w:rsid w:val="001E0C17"/>
    <w:rsid w:val="00204C6C"/>
    <w:rsid w:val="002052AB"/>
    <w:rsid w:val="002117CF"/>
    <w:rsid w:val="002123A0"/>
    <w:rsid w:val="00226D0F"/>
    <w:rsid w:val="00236E0D"/>
    <w:rsid w:val="00242950"/>
    <w:rsid w:val="00245211"/>
    <w:rsid w:val="00250F63"/>
    <w:rsid w:val="002537DD"/>
    <w:rsid w:val="002646CD"/>
    <w:rsid w:val="00265089"/>
    <w:rsid w:val="002732D0"/>
    <w:rsid w:val="00275144"/>
    <w:rsid w:val="00275E74"/>
    <w:rsid w:val="00280B53"/>
    <w:rsid w:val="0028106B"/>
    <w:rsid w:val="00286ED9"/>
    <w:rsid w:val="00287E31"/>
    <w:rsid w:val="002903CB"/>
    <w:rsid w:val="00297B03"/>
    <w:rsid w:val="002A0E4A"/>
    <w:rsid w:val="002A0E81"/>
    <w:rsid w:val="002A3870"/>
    <w:rsid w:val="002A48B9"/>
    <w:rsid w:val="002B5F5E"/>
    <w:rsid w:val="002D0BD8"/>
    <w:rsid w:val="002D0C91"/>
    <w:rsid w:val="002D5761"/>
    <w:rsid w:val="002D6CEB"/>
    <w:rsid w:val="002D6E6F"/>
    <w:rsid w:val="002D7A70"/>
    <w:rsid w:val="002E399E"/>
    <w:rsid w:val="002E52E3"/>
    <w:rsid w:val="002E6AE2"/>
    <w:rsid w:val="002E79F2"/>
    <w:rsid w:val="002F260E"/>
    <w:rsid w:val="002F5B3E"/>
    <w:rsid w:val="00304225"/>
    <w:rsid w:val="00304728"/>
    <w:rsid w:val="00307276"/>
    <w:rsid w:val="0031108B"/>
    <w:rsid w:val="003117CF"/>
    <w:rsid w:val="00312312"/>
    <w:rsid w:val="00315806"/>
    <w:rsid w:val="003161E1"/>
    <w:rsid w:val="0032248C"/>
    <w:rsid w:val="0033071D"/>
    <w:rsid w:val="00333A93"/>
    <w:rsid w:val="0033698F"/>
    <w:rsid w:val="003371B4"/>
    <w:rsid w:val="00337282"/>
    <w:rsid w:val="00341C0A"/>
    <w:rsid w:val="00342706"/>
    <w:rsid w:val="003532B8"/>
    <w:rsid w:val="00360E38"/>
    <w:rsid w:val="00374502"/>
    <w:rsid w:val="00376F09"/>
    <w:rsid w:val="003804E2"/>
    <w:rsid w:val="00385442"/>
    <w:rsid w:val="00385F2F"/>
    <w:rsid w:val="003870D9"/>
    <w:rsid w:val="0038780F"/>
    <w:rsid w:val="00391F61"/>
    <w:rsid w:val="00393401"/>
    <w:rsid w:val="00395937"/>
    <w:rsid w:val="00396216"/>
    <w:rsid w:val="003A41C9"/>
    <w:rsid w:val="003B19AB"/>
    <w:rsid w:val="003B5976"/>
    <w:rsid w:val="003B6A89"/>
    <w:rsid w:val="003C0CFE"/>
    <w:rsid w:val="003D073F"/>
    <w:rsid w:val="003D0E78"/>
    <w:rsid w:val="003E1235"/>
    <w:rsid w:val="003E3E26"/>
    <w:rsid w:val="003E5842"/>
    <w:rsid w:val="003E7E40"/>
    <w:rsid w:val="003F0641"/>
    <w:rsid w:val="003F2877"/>
    <w:rsid w:val="003F38E3"/>
    <w:rsid w:val="003F3F07"/>
    <w:rsid w:val="003F6D2E"/>
    <w:rsid w:val="00404356"/>
    <w:rsid w:val="004056A1"/>
    <w:rsid w:val="0041048A"/>
    <w:rsid w:val="00422C58"/>
    <w:rsid w:val="0042435F"/>
    <w:rsid w:val="004263B1"/>
    <w:rsid w:val="00426613"/>
    <w:rsid w:val="00435C38"/>
    <w:rsid w:val="00442F63"/>
    <w:rsid w:val="00450691"/>
    <w:rsid w:val="00450CA3"/>
    <w:rsid w:val="00452A30"/>
    <w:rsid w:val="0045512A"/>
    <w:rsid w:val="004635F5"/>
    <w:rsid w:val="00477CB8"/>
    <w:rsid w:val="004866C2"/>
    <w:rsid w:val="00486E42"/>
    <w:rsid w:val="004870DA"/>
    <w:rsid w:val="004A0D86"/>
    <w:rsid w:val="004A14BF"/>
    <w:rsid w:val="004A16E5"/>
    <w:rsid w:val="004A3479"/>
    <w:rsid w:val="004A3E40"/>
    <w:rsid w:val="004B2337"/>
    <w:rsid w:val="004B5BDD"/>
    <w:rsid w:val="004C53C2"/>
    <w:rsid w:val="004C581A"/>
    <w:rsid w:val="004C72D0"/>
    <w:rsid w:val="004D3CC1"/>
    <w:rsid w:val="004D4430"/>
    <w:rsid w:val="004D4E47"/>
    <w:rsid w:val="004E6DE8"/>
    <w:rsid w:val="004F5145"/>
    <w:rsid w:val="005016B5"/>
    <w:rsid w:val="00513914"/>
    <w:rsid w:val="00514108"/>
    <w:rsid w:val="00514D18"/>
    <w:rsid w:val="00522B0E"/>
    <w:rsid w:val="005248B1"/>
    <w:rsid w:val="00535D19"/>
    <w:rsid w:val="00537C03"/>
    <w:rsid w:val="00543514"/>
    <w:rsid w:val="00544F6B"/>
    <w:rsid w:val="005512F8"/>
    <w:rsid w:val="00552C02"/>
    <w:rsid w:val="00555220"/>
    <w:rsid w:val="00556359"/>
    <w:rsid w:val="00556BD4"/>
    <w:rsid w:val="005711DD"/>
    <w:rsid w:val="00572366"/>
    <w:rsid w:val="0057247A"/>
    <w:rsid w:val="00574DB4"/>
    <w:rsid w:val="00576451"/>
    <w:rsid w:val="005765B7"/>
    <w:rsid w:val="00586E96"/>
    <w:rsid w:val="005873BA"/>
    <w:rsid w:val="00593125"/>
    <w:rsid w:val="0059704A"/>
    <w:rsid w:val="005A3F3C"/>
    <w:rsid w:val="005A6173"/>
    <w:rsid w:val="005B47D1"/>
    <w:rsid w:val="005B4BFB"/>
    <w:rsid w:val="005B4D27"/>
    <w:rsid w:val="005C20DE"/>
    <w:rsid w:val="005C7492"/>
    <w:rsid w:val="005D2D06"/>
    <w:rsid w:val="005D60EA"/>
    <w:rsid w:val="005D6E6F"/>
    <w:rsid w:val="005E75DD"/>
    <w:rsid w:val="005F21BD"/>
    <w:rsid w:val="005F734D"/>
    <w:rsid w:val="006013AC"/>
    <w:rsid w:val="00601D03"/>
    <w:rsid w:val="00603FEC"/>
    <w:rsid w:val="006111E6"/>
    <w:rsid w:val="006212F6"/>
    <w:rsid w:val="00625CF7"/>
    <w:rsid w:val="00626452"/>
    <w:rsid w:val="0062663F"/>
    <w:rsid w:val="0063648E"/>
    <w:rsid w:val="00637AFC"/>
    <w:rsid w:val="00643D07"/>
    <w:rsid w:val="00645021"/>
    <w:rsid w:val="00650443"/>
    <w:rsid w:val="00650725"/>
    <w:rsid w:val="00657D02"/>
    <w:rsid w:val="00660EDE"/>
    <w:rsid w:val="00662D19"/>
    <w:rsid w:val="006648B9"/>
    <w:rsid w:val="0066559D"/>
    <w:rsid w:val="00670D0B"/>
    <w:rsid w:val="006742E7"/>
    <w:rsid w:val="0067593D"/>
    <w:rsid w:val="00680D62"/>
    <w:rsid w:val="0068592F"/>
    <w:rsid w:val="006949A2"/>
    <w:rsid w:val="0069757B"/>
    <w:rsid w:val="006976BF"/>
    <w:rsid w:val="006A7008"/>
    <w:rsid w:val="006A774B"/>
    <w:rsid w:val="006B75E0"/>
    <w:rsid w:val="006C1FD9"/>
    <w:rsid w:val="006C56CE"/>
    <w:rsid w:val="006D1671"/>
    <w:rsid w:val="006D304A"/>
    <w:rsid w:val="006D48C3"/>
    <w:rsid w:val="006D66D7"/>
    <w:rsid w:val="006D758C"/>
    <w:rsid w:val="006E1122"/>
    <w:rsid w:val="006F23EC"/>
    <w:rsid w:val="006F6A7E"/>
    <w:rsid w:val="006F7467"/>
    <w:rsid w:val="00700C1D"/>
    <w:rsid w:val="00702245"/>
    <w:rsid w:val="007148E9"/>
    <w:rsid w:val="00715CE9"/>
    <w:rsid w:val="00720333"/>
    <w:rsid w:val="00722A9E"/>
    <w:rsid w:val="007243B2"/>
    <w:rsid w:val="00724EC9"/>
    <w:rsid w:val="007263A5"/>
    <w:rsid w:val="00732DFB"/>
    <w:rsid w:val="00734539"/>
    <w:rsid w:val="00735FB9"/>
    <w:rsid w:val="00747FFD"/>
    <w:rsid w:val="00751800"/>
    <w:rsid w:val="0076489B"/>
    <w:rsid w:val="00772576"/>
    <w:rsid w:val="00777BF0"/>
    <w:rsid w:val="00780397"/>
    <w:rsid w:val="0078159F"/>
    <w:rsid w:val="00784E7A"/>
    <w:rsid w:val="00785D3E"/>
    <w:rsid w:val="00786B66"/>
    <w:rsid w:val="00787645"/>
    <w:rsid w:val="0079226A"/>
    <w:rsid w:val="0079346A"/>
    <w:rsid w:val="0079371C"/>
    <w:rsid w:val="00795691"/>
    <w:rsid w:val="00796E2C"/>
    <w:rsid w:val="007A16F3"/>
    <w:rsid w:val="007A7DF1"/>
    <w:rsid w:val="007C10AC"/>
    <w:rsid w:val="007C4445"/>
    <w:rsid w:val="007D5352"/>
    <w:rsid w:val="007D5574"/>
    <w:rsid w:val="007D7458"/>
    <w:rsid w:val="007E38C5"/>
    <w:rsid w:val="007F0895"/>
    <w:rsid w:val="007F095B"/>
    <w:rsid w:val="007F69AE"/>
    <w:rsid w:val="007F6DB1"/>
    <w:rsid w:val="007F7582"/>
    <w:rsid w:val="00803720"/>
    <w:rsid w:val="008039C6"/>
    <w:rsid w:val="008148B8"/>
    <w:rsid w:val="00817563"/>
    <w:rsid w:val="00823343"/>
    <w:rsid w:val="008256CA"/>
    <w:rsid w:val="00836C4C"/>
    <w:rsid w:val="008455E0"/>
    <w:rsid w:val="00850AD6"/>
    <w:rsid w:val="00862857"/>
    <w:rsid w:val="008641CD"/>
    <w:rsid w:val="008701FF"/>
    <w:rsid w:val="008702E4"/>
    <w:rsid w:val="008707F9"/>
    <w:rsid w:val="00877B0A"/>
    <w:rsid w:val="00881C5C"/>
    <w:rsid w:val="00881C9B"/>
    <w:rsid w:val="008836D1"/>
    <w:rsid w:val="008846B2"/>
    <w:rsid w:val="008866EB"/>
    <w:rsid w:val="008A70FB"/>
    <w:rsid w:val="008B4D2F"/>
    <w:rsid w:val="008B6B13"/>
    <w:rsid w:val="008B7ED2"/>
    <w:rsid w:val="008B7FA7"/>
    <w:rsid w:val="008C7252"/>
    <w:rsid w:val="008C7BBB"/>
    <w:rsid w:val="008D2B91"/>
    <w:rsid w:val="008D2F04"/>
    <w:rsid w:val="008D5A30"/>
    <w:rsid w:val="008E248D"/>
    <w:rsid w:val="008E32AF"/>
    <w:rsid w:val="008E613A"/>
    <w:rsid w:val="008F0318"/>
    <w:rsid w:val="008F2427"/>
    <w:rsid w:val="00904F77"/>
    <w:rsid w:val="00917242"/>
    <w:rsid w:val="0092674C"/>
    <w:rsid w:val="00932FA3"/>
    <w:rsid w:val="00933611"/>
    <w:rsid w:val="0093381D"/>
    <w:rsid w:val="009350A3"/>
    <w:rsid w:val="00947737"/>
    <w:rsid w:val="009543F6"/>
    <w:rsid w:val="00962599"/>
    <w:rsid w:val="00967FB6"/>
    <w:rsid w:val="0097279D"/>
    <w:rsid w:val="0097556E"/>
    <w:rsid w:val="00980E69"/>
    <w:rsid w:val="00992CFB"/>
    <w:rsid w:val="009969A2"/>
    <w:rsid w:val="00996B22"/>
    <w:rsid w:val="009A026A"/>
    <w:rsid w:val="009A0BA5"/>
    <w:rsid w:val="009C1A10"/>
    <w:rsid w:val="009C1B3E"/>
    <w:rsid w:val="009C378F"/>
    <w:rsid w:val="009C4AE4"/>
    <w:rsid w:val="009C6C68"/>
    <w:rsid w:val="009C6F93"/>
    <w:rsid w:val="009D0325"/>
    <w:rsid w:val="009D2C70"/>
    <w:rsid w:val="009D32C8"/>
    <w:rsid w:val="009D3DFE"/>
    <w:rsid w:val="009D684D"/>
    <w:rsid w:val="009D7587"/>
    <w:rsid w:val="009E3C95"/>
    <w:rsid w:val="009E511D"/>
    <w:rsid w:val="009E51C8"/>
    <w:rsid w:val="009F6A2F"/>
    <w:rsid w:val="00A01572"/>
    <w:rsid w:val="00A05EBC"/>
    <w:rsid w:val="00A06991"/>
    <w:rsid w:val="00A1165F"/>
    <w:rsid w:val="00A135DA"/>
    <w:rsid w:val="00A16431"/>
    <w:rsid w:val="00A1779A"/>
    <w:rsid w:val="00A17B4C"/>
    <w:rsid w:val="00A21B3B"/>
    <w:rsid w:val="00A2203F"/>
    <w:rsid w:val="00A26001"/>
    <w:rsid w:val="00A341D1"/>
    <w:rsid w:val="00A42DD2"/>
    <w:rsid w:val="00A46AAD"/>
    <w:rsid w:val="00A46DB6"/>
    <w:rsid w:val="00A4783E"/>
    <w:rsid w:val="00A54EA3"/>
    <w:rsid w:val="00A5771E"/>
    <w:rsid w:val="00A602C9"/>
    <w:rsid w:val="00A606FA"/>
    <w:rsid w:val="00A6656A"/>
    <w:rsid w:val="00A81135"/>
    <w:rsid w:val="00A8530E"/>
    <w:rsid w:val="00AA253C"/>
    <w:rsid w:val="00AA74B2"/>
    <w:rsid w:val="00AB56F6"/>
    <w:rsid w:val="00AB70D5"/>
    <w:rsid w:val="00AD01E1"/>
    <w:rsid w:val="00AD5E16"/>
    <w:rsid w:val="00AF3C60"/>
    <w:rsid w:val="00AF562C"/>
    <w:rsid w:val="00AF66B1"/>
    <w:rsid w:val="00B01B5A"/>
    <w:rsid w:val="00B01C51"/>
    <w:rsid w:val="00B0370A"/>
    <w:rsid w:val="00B06D6B"/>
    <w:rsid w:val="00B146BD"/>
    <w:rsid w:val="00B2002B"/>
    <w:rsid w:val="00B2503D"/>
    <w:rsid w:val="00B2568C"/>
    <w:rsid w:val="00B25EF4"/>
    <w:rsid w:val="00B277B7"/>
    <w:rsid w:val="00B3313F"/>
    <w:rsid w:val="00B34DE9"/>
    <w:rsid w:val="00B352A1"/>
    <w:rsid w:val="00B3756C"/>
    <w:rsid w:val="00B443A3"/>
    <w:rsid w:val="00B4553C"/>
    <w:rsid w:val="00B45B22"/>
    <w:rsid w:val="00B46BD3"/>
    <w:rsid w:val="00B517DA"/>
    <w:rsid w:val="00B5285C"/>
    <w:rsid w:val="00B54D6F"/>
    <w:rsid w:val="00B568A2"/>
    <w:rsid w:val="00B5723B"/>
    <w:rsid w:val="00B64A1F"/>
    <w:rsid w:val="00B6517C"/>
    <w:rsid w:val="00B744DC"/>
    <w:rsid w:val="00B80256"/>
    <w:rsid w:val="00B8207C"/>
    <w:rsid w:val="00B82C3F"/>
    <w:rsid w:val="00B84D3E"/>
    <w:rsid w:val="00B84EF1"/>
    <w:rsid w:val="00B90D1C"/>
    <w:rsid w:val="00B944F6"/>
    <w:rsid w:val="00B9469A"/>
    <w:rsid w:val="00BA0D4D"/>
    <w:rsid w:val="00BA499B"/>
    <w:rsid w:val="00BA4EDB"/>
    <w:rsid w:val="00BA5511"/>
    <w:rsid w:val="00BA6FF6"/>
    <w:rsid w:val="00BA7839"/>
    <w:rsid w:val="00BB00EF"/>
    <w:rsid w:val="00BB7C4B"/>
    <w:rsid w:val="00BD0397"/>
    <w:rsid w:val="00BD7D5D"/>
    <w:rsid w:val="00BE12B4"/>
    <w:rsid w:val="00BE1632"/>
    <w:rsid w:val="00BE4F10"/>
    <w:rsid w:val="00BF0C98"/>
    <w:rsid w:val="00BF162B"/>
    <w:rsid w:val="00BF5524"/>
    <w:rsid w:val="00BF665A"/>
    <w:rsid w:val="00BF6BF3"/>
    <w:rsid w:val="00BF7418"/>
    <w:rsid w:val="00C02202"/>
    <w:rsid w:val="00C03D45"/>
    <w:rsid w:val="00C13620"/>
    <w:rsid w:val="00C14E3E"/>
    <w:rsid w:val="00C211AC"/>
    <w:rsid w:val="00C23DE1"/>
    <w:rsid w:val="00C25C12"/>
    <w:rsid w:val="00C27DCD"/>
    <w:rsid w:val="00C34265"/>
    <w:rsid w:val="00C34AE3"/>
    <w:rsid w:val="00C35471"/>
    <w:rsid w:val="00C35F21"/>
    <w:rsid w:val="00C36258"/>
    <w:rsid w:val="00C4354A"/>
    <w:rsid w:val="00C46562"/>
    <w:rsid w:val="00C522FE"/>
    <w:rsid w:val="00C57A61"/>
    <w:rsid w:val="00C57ADF"/>
    <w:rsid w:val="00C61505"/>
    <w:rsid w:val="00C64F3B"/>
    <w:rsid w:val="00C829B2"/>
    <w:rsid w:val="00C82D6F"/>
    <w:rsid w:val="00C87188"/>
    <w:rsid w:val="00CB69EC"/>
    <w:rsid w:val="00CB7535"/>
    <w:rsid w:val="00CC1983"/>
    <w:rsid w:val="00CD1114"/>
    <w:rsid w:val="00CD1FFB"/>
    <w:rsid w:val="00CD45B7"/>
    <w:rsid w:val="00CD4B8E"/>
    <w:rsid w:val="00CD579B"/>
    <w:rsid w:val="00CD7997"/>
    <w:rsid w:val="00CE15BD"/>
    <w:rsid w:val="00CE20B6"/>
    <w:rsid w:val="00CE4104"/>
    <w:rsid w:val="00CF02B9"/>
    <w:rsid w:val="00CF2C94"/>
    <w:rsid w:val="00CF6CDC"/>
    <w:rsid w:val="00CF76C8"/>
    <w:rsid w:val="00D0039B"/>
    <w:rsid w:val="00D00659"/>
    <w:rsid w:val="00D0570F"/>
    <w:rsid w:val="00D122D8"/>
    <w:rsid w:val="00D21EFF"/>
    <w:rsid w:val="00D253D8"/>
    <w:rsid w:val="00D27B88"/>
    <w:rsid w:val="00D35E8B"/>
    <w:rsid w:val="00D36117"/>
    <w:rsid w:val="00D37A0A"/>
    <w:rsid w:val="00D37BDF"/>
    <w:rsid w:val="00D37FAB"/>
    <w:rsid w:val="00D42ADB"/>
    <w:rsid w:val="00D44ED3"/>
    <w:rsid w:val="00D46330"/>
    <w:rsid w:val="00D46A7B"/>
    <w:rsid w:val="00D46ED9"/>
    <w:rsid w:val="00D50754"/>
    <w:rsid w:val="00D6114D"/>
    <w:rsid w:val="00D61554"/>
    <w:rsid w:val="00D6201C"/>
    <w:rsid w:val="00D62519"/>
    <w:rsid w:val="00D71D1D"/>
    <w:rsid w:val="00D878E9"/>
    <w:rsid w:val="00D93D0A"/>
    <w:rsid w:val="00D956E4"/>
    <w:rsid w:val="00D960F0"/>
    <w:rsid w:val="00D97E77"/>
    <w:rsid w:val="00DA76B5"/>
    <w:rsid w:val="00DB12FC"/>
    <w:rsid w:val="00DB342A"/>
    <w:rsid w:val="00DB4A9B"/>
    <w:rsid w:val="00DB5D43"/>
    <w:rsid w:val="00DB6391"/>
    <w:rsid w:val="00DC039D"/>
    <w:rsid w:val="00DC207F"/>
    <w:rsid w:val="00DC4373"/>
    <w:rsid w:val="00DC6D16"/>
    <w:rsid w:val="00DC722B"/>
    <w:rsid w:val="00DD24EA"/>
    <w:rsid w:val="00DD50D7"/>
    <w:rsid w:val="00DE35D6"/>
    <w:rsid w:val="00DE4093"/>
    <w:rsid w:val="00DE4BB7"/>
    <w:rsid w:val="00DF7C65"/>
    <w:rsid w:val="00E05D0D"/>
    <w:rsid w:val="00E15D21"/>
    <w:rsid w:val="00E16346"/>
    <w:rsid w:val="00E2012A"/>
    <w:rsid w:val="00E23B26"/>
    <w:rsid w:val="00E33559"/>
    <w:rsid w:val="00E3449F"/>
    <w:rsid w:val="00E40F15"/>
    <w:rsid w:val="00E448FB"/>
    <w:rsid w:val="00E46071"/>
    <w:rsid w:val="00E5476A"/>
    <w:rsid w:val="00E605F9"/>
    <w:rsid w:val="00E65926"/>
    <w:rsid w:val="00E71211"/>
    <w:rsid w:val="00E80E7B"/>
    <w:rsid w:val="00E8653F"/>
    <w:rsid w:val="00E91B66"/>
    <w:rsid w:val="00EA6B2B"/>
    <w:rsid w:val="00EB441B"/>
    <w:rsid w:val="00EC2E05"/>
    <w:rsid w:val="00EC3D64"/>
    <w:rsid w:val="00EC51CE"/>
    <w:rsid w:val="00ED0DBD"/>
    <w:rsid w:val="00ED4E6C"/>
    <w:rsid w:val="00EE4295"/>
    <w:rsid w:val="00EE488A"/>
    <w:rsid w:val="00EF26E8"/>
    <w:rsid w:val="00F00C04"/>
    <w:rsid w:val="00F0117E"/>
    <w:rsid w:val="00F01F4B"/>
    <w:rsid w:val="00F06328"/>
    <w:rsid w:val="00F070FD"/>
    <w:rsid w:val="00F11FF9"/>
    <w:rsid w:val="00F14D25"/>
    <w:rsid w:val="00F20275"/>
    <w:rsid w:val="00F24A6A"/>
    <w:rsid w:val="00F2669B"/>
    <w:rsid w:val="00F26D5E"/>
    <w:rsid w:val="00F26DD7"/>
    <w:rsid w:val="00F320BA"/>
    <w:rsid w:val="00F3730E"/>
    <w:rsid w:val="00F4157C"/>
    <w:rsid w:val="00F441C5"/>
    <w:rsid w:val="00F52CDF"/>
    <w:rsid w:val="00F537C4"/>
    <w:rsid w:val="00F70703"/>
    <w:rsid w:val="00F718C7"/>
    <w:rsid w:val="00F83C4F"/>
    <w:rsid w:val="00F85495"/>
    <w:rsid w:val="00F86588"/>
    <w:rsid w:val="00F87D86"/>
    <w:rsid w:val="00F90910"/>
    <w:rsid w:val="00F90DCD"/>
    <w:rsid w:val="00FA0962"/>
    <w:rsid w:val="00FA1086"/>
    <w:rsid w:val="00FA3FE6"/>
    <w:rsid w:val="00FA5F31"/>
    <w:rsid w:val="00FB2C56"/>
    <w:rsid w:val="00FB3736"/>
    <w:rsid w:val="00FB508B"/>
    <w:rsid w:val="00FC0716"/>
    <w:rsid w:val="00FC23F5"/>
    <w:rsid w:val="00FC34F4"/>
    <w:rsid w:val="00FC62BA"/>
    <w:rsid w:val="00FE0007"/>
    <w:rsid w:val="00FE398F"/>
    <w:rsid w:val="00F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AB957"/>
  <w15:docId w15:val="{A9D6EABB-428A-467A-AFF6-0590ECA9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1A0C"/>
  </w:style>
  <w:style w:type="paragraph" w:styleId="Nadpis1">
    <w:name w:val="heading 1"/>
    <w:basedOn w:val="Normlny"/>
    <w:next w:val="Normlny"/>
    <w:link w:val="Nadpis1Char"/>
    <w:uiPriority w:val="9"/>
    <w:qFormat/>
    <w:rsid w:val="009727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94F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C10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C10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10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"/>
    <w:basedOn w:val="Normlny"/>
    <w:link w:val="OdsekzoznamuChar"/>
    <w:uiPriority w:val="34"/>
    <w:qFormat/>
    <w:rsid w:val="00071A0C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Char4,Text poznámky pod èiarou 007,Text poznámky pod eiarou 007,Text pozn. pod čarou,Schriftart: 9 pt,Schriftart: 10 pt,Schriftart: 8 pt,Schriftart: 8 pt Char Char Char,o"/>
    <w:basedOn w:val="Normlny"/>
    <w:link w:val="TextpoznmkypodiarouChar"/>
    <w:uiPriority w:val="99"/>
    <w:unhideWhenUsed/>
    <w:qFormat/>
    <w:rsid w:val="00DB5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_Poznámka pod čiarou Char,Char4 Char,Text poznámky pod èiarou 007 Char,Text poznámky pod eiarou 007 Char,Text pozn. pod čarou Char,Schriftart: 9 pt Char,Schriftart: 10 pt Char"/>
    <w:basedOn w:val="Predvolenpsmoodseku"/>
    <w:link w:val="Textpoznmkypodiarou"/>
    <w:uiPriority w:val="99"/>
    <w:rsid w:val="00DB5D4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DB5D43"/>
    <w:rPr>
      <w:rFonts w:cs="Times New Roman"/>
      <w:vertAlign w:val="superscript"/>
    </w:rPr>
  </w:style>
  <w:style w:type="table" w:styleId="Mriekatabuky">
    <w:name w:val="Table Grid"/>
    <w:basedOn w:val="Normlnatabuka"/>
    <w:rsid w:val="00DB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34">
    <w:name w:val="ff34"/>
    <w:basedOn w:val="Predvolenpsmoodseku"/>
    <w:rsid w:val="00DB5D43"/>
    <w:rPr>
      <w:rFonts w:ascii="Tahoma" w:hAnsi="Tahoma" w:cs="Tahoma" w:hint="default"/>
    </w:rPr>
  </w:style>
  <w:style w:type="character" w:styleId="Hypertextovprepojenie">
    <w:name w:val="Hyperlink"/>
    <w:basedOn w:val="Predvolenpsmoodseku"/>
    <w:uiPriority w:val="99"/>
    <w:unhideWhenUsed/>
    <w:rsid w:val="00F20275"/>
    <w:rPr>
      <w:color w:val="0563C1" w:themeColor="hyperlink"/>
      <w:u w:val="single"/>
    </w:rPr>
  </w:style>
  <w:style w:type="paragraph" w:styleId="Zkladntext">
    <w:name w:val="Body Text"/>
    <w:basedOn w:val="Normlny"/>
    <w:link w:val="ZkladntextChar"/>
    <w:unhideWhenUsed/>
    <w:qFormat/>
    <w:rsid w:val="00194F7E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194F7E"/>
    <w:rPr>
      <w:rFonts w:ascii="Times New Roman" w:eastAsia="Times New Roman" w:hAnsi="Times New Roman" w:cs="Times New Roman"/>
      <w:szCs w:val="20"/>
    </w:rPr>
  </w:style>
  <w:style w:type="paragraph" w:styleId="Zoznamsodrkami">
    <w:name w:val="List Bullet"/>
    <w:basedOn w:val="Zkladntext"/>
    <w:uiPriority w:val="99"/>
    <w:unhideWhenUsed/>
    <w:qFormat/>
    <w:rsid w:val="00194F7E"/>
    <w:pPr>
      <w:numPr>
        <w:numId w:val="2"/>
      </w:numPr>
    </w:pPr>
  </w:style>
  <w:style w:type="paragraph" w:customStyle="1" w:styleId="MPCKO1">
    <w:name w:val="MP CKO 1"/>
    <w:basedOn w:val="Nadpis2"/>
    <w:next w:val="Normlny"/>
    <w:qFormat/>
    <w:rsid w:val="00194F7E"/>
    <w:pPr>
      <w:pBdr>
        <w:bottom w:val="single" w:sz="8" w:space="4" w:color="5B9BD5" w:themeColor="accent1"/>
      </w:pBdr>
      <w:spacing w:before="200" w:after="300" w:line="240" w:lineRule="auto"/>
    </w:pPr>
    <w:rPr>
      <w:rFonts w:ascii="Times New Roman" w:hAnsi="Times New Roman"/>
      <w:b/>
      <w:bCs/>
      <w:spacing w:val="5"/>
      <w:kern w:val="28"/>
      <w:sz w:val="36"/>
      <w:lang w:eastAsia="sk-SK"/>
    </w:rPr>
  </w:style>
  <w:style w:type="paragraph" w:customStyle="1" w:styleId="SRKNorm">
    <w:name w:val="SRK Norm."/>
    <w:basedOn w:val="Normlny"/>
    <w:next w:val="Normlny"/>
    <w:qFormat/>
    <w:rsid w:val="00194F7E"/>
    <w:pPr>
      <w:numPr>
        <w:numId w:val="3"/>
      </w:numPr>
      <w:spacing w:before="200" w:after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194F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94F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6013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3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3A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3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3A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3AC"/>
    <w:rPr>
      <w:rFonts w:ascii="Segoe UI" w:hAnsi="Segoe UI" w:cs="Segoe UI"/>
      <w:sz w:val="18"/>
      <w:szCs w:val="18"/>
    </w:rPr>
  </w:style>
  <w:style w:type="character" w:styleId="Siln">
    <w:name w:val="Strong"/>
    <w:basedOn w:val="Predvolenpsmoodseku"/>
    <w:uiPriority w:val="22"/>
    <w:qFormat/>
    <w:rsid w:val="00F01F4B"/>
    <w:rPr>
      <w:b/>
      <w:bCs/>
    </w:rPr>
  </w:style>
  <w:style w:type="character" w:customStyle="1" w:styleId="highlight">
    <w:name w:val="highlight"/>
    <w:basedOn w:val="Predvolenpsmoodseku"/>
    <w:rsid w:val="008E613A"/>
  </w:style>
  <w:style w:type="paragraph" w:styleId="Normlnywebov">
    <w:name w:val="Normal (Web)"/>
    <w:basedOn w:val="Normlny"/>
    <w:uiPriority w:val="99"/>
    <w:semiHidden/>
    <w:unhideWhenUsed/>
    <w:rsid w:val="00C3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22B91"/>
    <w:rPr>
      <w:color w:val="954F72" w:themeColor="followedHyperlink"/>
      <w:u w:val="single"/>
    </w:rPr>
  </w:style>
  <w:style w:type="character" w:styleId="PremennHTML">
    <w:name w:val="HTML Variable"/>
    <w:basedOn w:val="Predvolenpsmoodseku"/>
    <w:uiPriority w:val="99"/>
    <w:semiHidden/>
    <w:unhideWhenUsed/>
    <w:rsid w:val="00CD4B8E"/>
    <w:rPr>
      <w:b/>
      <w:bCs/>
      <w:i w:val="0"/>
      <w:iCs w:val="0"/>
    </w:rPr>
  </w:style>
  <w:style w:type="paragraph" w:customStyle="1" w:styleId="l41">
    <w:name w:val="l41"/>
    <w:basedOn w:val="Normlny"/>
    <w:rsid w:val="00CD4B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51">
    <w:name w:val="l51"/>
    <w:basedOn w:val="Normlny"/>
    <w:rsid w:val="00CD4B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61">
    <w:name w:val="l61"/>
    <w:basedOn w:val="Normlny"/>
    <w:rsid w:val="00CD4B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"/>
    <w:link w:val="Odsekzoznamu"/>
    <w:uiPriority w:val="34"/>
    <w:locked/>
    <w:rsid w:val="00734539"/>
  </w:style>
  <w:style w:type="paragraph" w:styleId="Revzia">
    <w:name w:val="Revision"/>
    <w:hidden/>
    <w:uiPriority w:val="99"/>
    <w:semiHidden/>
    <w:rsid w:val="00286ED9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17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7242"/>
  </w:style>
  <w:style w:type="paragraph" w:styleId="Pta">
    <w:name w:val="footer"/>
    <w:basedOn w:val="Normlny"/>
    <w:link w:val="PtaChar"/>
    <w:uiPriority w:val="99"/>
    <w:unhideWhenUsed/>
    <w:rsid w:val="00917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7242"/>
  </w:style>
  <w:style w:type="character" w:customStyle="1" w:styleId="Nadpis1Char">
    <w:name w:val="Nadpis 1 Char"/>
    <w:basedOn w:val="Predvolenpsmoodseku"/>
    <w:link w:val="Nadpis1"/>
    <w:uiPriority w:val="9"/>
    <w:rsid w:val="009727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97279D"/>
    <w:pPr>
      <w:outlineLvl w:val="9"/>
    </w:pPr>
    <w:rPr>
      <w:rFonts w:ascii="Calibri Light" w:eastAsia="Times New Roman" w:hAnsi="Calibri Light" w:cs="Times New Roman"/>
      <w:color w:val="2E74B5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514108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7C10AC"/>
    <w:pPr>
      <w:spacing w:before="120" w:after="0"/>
      <w:ind w:left="220"/>
    </w:pPr>
    <w:rPr>
      <w:i/>
      <w:i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7C10AC"/>
    <w:pPr>
      <w:spacing w:after="0"/>
      <w:ind w:left="44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7C10AC"/>
    <w:pPr>
      <w:spacing w:after="0"/>
      <w:ind w:left="660"/>
    </w:pPr>
    <w:rPr>
      <w:sz w:val="20"/>
      <w:szCs w:val="2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C10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10A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Ob1">
    <w:name w:val="Ob1"/>
    <w:basedOn w:val="Normlny"/>
    <w:link w:val="Ob1Char"/>
    <w:qFormat/>
    <w:rsid w:val="007C10AC"/>
    <w:rPr>
      <w:rFonts w:ascii="Arial Narrow" w:hAnsi="Arial Narrow"/>
      <w:b/>
      <w:sz w:val="28"/>
      <w:szCs w:val="28"/>
    </w:rPr>
  </w:style>
  <w:style w:type="paragraph" w:customStyle="1" w:styleId="Ob3">
    <w:name w:val="Ob3"/>
    <w:basedOn w:val="Normlny"/>
    <w:link w:val="Ob3Char"/>
    <w:qFormat/>
    <w:rsid w:val="007C10AC"/>
    <w:pPr>
      <w:ind w:left="426" w:hanging="426"/>
    </w:pPr>
    <w:rPr>
      <w:rFonts w:ascii="Arial Narrow" w:hAnsi="Arial Narrow"/>
      <w:b/>
    </w:rPr>
  </w:style>
  <w:style w:type="character" w:customStyle="1" w:styleId="Ob1Char">
    <w:name w:val="Ob1 Char"/>
    <w:basedOn w:val="Predvolenpsmoodseku"/>
    <w:link w:val="Ob1"/>
    <w:rsid w:val="007C10AC"/>
    <w:rPr>
      <w:rFonts w:ascii="Arial Narrow" w:hAnsi="Arial Narrow"/>
      <w:b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C10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Ob3Char">
    <w:name w:val="Ob3 Char"/>
    <w:basedOn w:val="Predvolenpsmoodseku"/>
    <w:link w:val="Ob3"/>
    <w:rsid w:val="007C10AC"/>
    <w:rPr>
      <w:rFonts w:ascii="Arial Narrow" w:hAnsi="Arial Narrow"/>
      <w:b/>
    </w:rPr>
  </w:style>
  <w:style w:type="paragraph" w:styleId="Obsah5">
    <w:name w:val="toc 5"/>
    <w:basedOn w:val="Normlny"/>
    <w:next w:val="Normlny"/>
    <w:autoRedefine/>
    <w:uiPriority w:val="39"/>
    <w:unhideWhenUsed/>
    <w:rsid w:val="00514108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514108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514108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514108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514108"/>
    <w:pPr>
      <w:spacing w:after="0"/>
      <w:ind w:left="1760"/>
    </w:pPr>
    <w:rPr>
      <w:sz w:val="20"/>
      <w:szCs w:val="20"/>
    </w:rPr>
  </w:style>
  <w:style w:type="paragraph" w:customStyle="1" w:styleId="Char2">
    <w:name w:val="Char2"/>
    <w:basedOn w:val="Normlny"/>
    <w:link w:val="Odkaznapoznmkupodiarou"/>
    <w:uiPriority w:val="99"/>
    <w:rsid w:val="00C35471"/>
    <w:pPr>
      <w:spacing w:line="240" w:lineRule="exact"/>
    </w:pPr>
    <w:rPr>
      <w:rFonts w:cs="Times New Roman"/>
      <w:vertAlign w:val="superscript"/>
    </w:rPr>
  </w:style>
  <w:style w:type="paragraph" w:customStyle="1" w:styleId="tl2">
    <w:name w:val="Štýl2"/>
    <w:basedOn w:val="Normlny"/>
    <w:qFormat/>
    <w:rsid w:val="001779AB"/>
    <w:pPr>
      <w:numPr>
        <w:ilvl w:val="1"/>
        <w:numId w:val="44"/>
      </w:numPr>
      <w:spacing w:after="0" w:line="240" w:lineRule="auto"/>
      <w:outlineLvl w:val="0"/>
    </w:pPr>
    <w:rPr>
      <w:rFonts w:ascii="Arial" w:eastAsia="Times New Roman" w:hAnsi="Arial" w:cs="Times New Roman"/>
      <w:color w:val="00B0F0"/>
      <w:w w:val="97"/>
      <w:sz w:val="32"/>
      <w:szCs w:val="32"/>
      <w:lang w:eastAsia="sk-SK"/>
    </w:rPr>
  </w:style>
  <w:style w:type="paragraph" w:styleId="Bezriadkovania">
    <w:name w:val="No Spacing"/>
    <w:basedOn w:val="Normlny"/>
    <w:link w:val="BezriadkovaniaChar"/>
    <w:uiPriority w:val="99"/>
    <w:qFormat/>
    <w:rsid w:val="00AD5E16"/>
    <w:pPr>
      <w:spacing w:after="120" w:line="240" w:lineRule="auto"/>
      <w:jc w:val="both"/>
    </w:pPr>
    <w:rPr>
      <w:rFonts w:ascii="Arial Narrow" w:eastAsia="Calibri" w:hAnsi="Arial Narrow" w:cs="Times New Roman"/>
      <w:sz w:val="20"/>
      <w:szCs w:val="20"/>
      <w:lang w:val="x-none" w:eastAsia="x-none"/>
    </w:rPr>
  </w:style>
  <w:style w:type="character" w:customStyle="1" w:styleId="BezriadkovaniaChar">
    <w:name w:val="Bez riadkovania Char"/>
    <w:link w:val="Bezriadkovania"/>
    <w:uiPriority w:val="99"/>
    <w:locked/>
    <w:rsid w:val="00AD5E16"/>
    <w:rPr>
      <w:rFonts w:ascii="Arial Narrow" w:eastAsia="Calibri" w:hAnsi="Arial Narrow" w:cs="Times New Roman"/>
      <w:sz w:val="20"/>
      <w:szCs w:val="20"/>
      <w:lang w:val="x-none" w:eastAsia="x-none"/>
    </w:rPr>
  </w:style>
  <w:style w:type="paragraph" w:customStyle="1" w:styleId="MPCKO2">
    <w:name w:val="MP CKO 2"/>
    <w:basedOn w:val="Nadpis3"/>
    <w:qFormat/>
    <w:rsid w:val="003117CF"/>
    <w:pPr>
      <w:spacing w:before="200" w:line="240" w:lineRule="auto"/>
      <w:jc w:val="both"/>
    </w:pPr>
    <w:rPr>
      <w:rFonts w:ascii="Times New Roman" w:hAnsi="Times New Roman"/>
      <w:b/>
      <w:bCs/>
      <w:color w:val="2E74B5" w:themeColor="accent1" w:themeShade="BF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06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43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6317">
      <w:bodyDiv w:val="1"/>
      <w:marLeft w:val="0"/>
      <w:marRight w:val="0"/>
      <w:marTop w:val="4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902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7889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single" w:sz="6" w:space="18" w:color="D4D4D4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6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rri.gov.sk/projekty/projekty-esif/operacny-program-integrovana-infrastruktura/prioritna-os-7-informacna-spolocnost/metodicke-dokumenty/prirucky/index.html" TargetMode="External"/><Relationship Id="rId2" Type="http://schemas.openxmlformats.org/officeDocument/2006/relationships/hyperlink" Target="https://www.mirri.gov.sk/projekty/projekty-esif/operacny-program-integrovana-infrastruktura/prioritna-os-7-informacna-spolocnost/metodicke-dokumenty/prirucky/index.html" TargetMode="External"/><Relationship Id="rId1" Type="http://schemas.openxmlformats.org/officeDocument/2006/relationships/hyperlink" Target="https://www.opii.gov.sk/metodicke-dokumenty/verejne-obstaravan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E704E-701E-4702-BFE8-F49F9A59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6060</Words>
  <Characters>34546</Characters>
  <Application>Microsoft Office Word</Application>
  <DocSecurity>0</DocSecurity>
  <Lines>287</Lines>
  <Paragraphs>81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40525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 Lukas</dc:creator>
  <cp:keywords/>
  <dc:description/>
  <cp:lastModifiedBy>ZC</cp:lastModifiedBy>
  <cp:revision>7</cp:revision>
  <cp:lastPrinted>2019-12-06T12:25:00Z</cp:lastPrinted>
  <dcterms:created xsi:type="dcterms:W3CDTF">2020-02-24T14:11:00Z</dcterms:created>
  <dcterms:modified xsi:type="dcterms:W3CDTF">2020-08-11T07:45:00Z</dcterms:modified>
</cp:coreProperties>
</file>